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6D1D3" w14:textId="77777777" w:rsidR="00D22818" w:rsidRPr="00D22818" w:rsidRDefault="00D22818" w:rsidP="00D22818">
      <w:pPr>
        <w:shd w:val="clear" w:color="auto" w:fill="F5E5D5"/>
        <w:spacing w:after="75" w:line="240" w:lineRule="auto"/>
        <w:rPr>
          <w:rFonts w:ascii="Arial" w:eastAsia="Times New Roman" w:hAnsi="Arial" w:cs="Arial"/>
          <w:color w:val="0F0F0F"/>
          <w:sz w:val="2"/>
          <w:szCs w:val="2"/>
          <w:lang w:eastAsia="en-GB"/>
        </w:rPr>
      </w:pPr>
      <w:r w:rsidRPr="00D22818">
        <w:rPr>
          <w:rFonts w:ascii="Arial" w:eastAsia="Times New Roman" w:hAnsi="Arial" w:cs="Arial"/>
          <w:color w:val="0F0F0F"/>
          <w:sz w:val="2"/>
          <w:szCs w:val="2"/>
          <w:lang w:eastAsia="en-GB"/>
        </w:rPr>
        <w:fldChar w:fldCharType="begin"/>
      </w:r>
      <w:r w:rsidRPr="00D22818">
        <w:rPr>
          <w:rFonts w:ascii="Arial" w:eastAsia="Times New Roman" w:hAnsi="Arial" w:cs="Arial"/>
          <w:color w:val="0F0F0F"/>
          <w:sz w:val="2"/>
          <w:szCs w:val="2"/>
          <w:lang w:eastAsia="en-GB"/>
        </w:rPr>
        <w:instrText xml:space="preserve"> HYPERLINK "https://www.ilsole24ore.com/art/mifid2-fa-sua-prima-vittima-tagliata-l-analisi-societa-italiane-ACX62wR?refresh_ce=1" </w:instrText>
      </w:r>
      <w:r w:rsidRPr="00D22818">
        <w:rPr>
          <w:rFonts w:ascii="Arial" w:eastAsia="Times New Roman" w:hAnsi="Arial" w:cs="Arial"/>
          <w:color w:val="0F0F0F"/>
          <w:sz w:val="2"/>
          <w:szCs w:val="2"/>
          <w:lang w:eastAsia="en-GB"/>
        </w:rPr>
        <w:fldChar w:fldCharType="separate"/>
      </w:r>
      <w:r w:rsidRPr="00D22818">
        <w:rPr>
          <w:rFonts w:ascii="Arial" w:eastAsia="Times New Roman" w:hAnsi="Arial" w:cs="Arial"/>
          <w:caps/>
          <w:color w:val="003C7F"/>
          <w:sz w:val="2"/>
          <w:szCs w:val="2"/>
          <w:u w:val="single"/>
          <w:lang w:eastAsia="en-GB"/>
        </w:rPr>
        <w:t>SERVIZIO</w:t>
      </w:r>
      <w:r w:rsidRPr="00D22818">
        <w:rPr>
          <w:rFonts w:ascii="Arial" w:eastAsia="Times New Roman" w:hAnsi="Arial" w:cs="Arial"/>
          <w:color w:val="0F0F0F"/>
          <w:sz w:val="2"/>
          <w:szCs w:val="2"/>
          <w:lang w:eastAsia="en-GB"/>
        </w:rPr>
        <w:fldChar w:fldCharType="end"/>
      </w:r>
      <w:r w:rsidRPr="00D22818">
        <w:rPr>
          <w:rFonts w:ascii="Arial" w:eastAsia="Times New Roman" w:hAnsi="Arial" w:cs="Arial"/>
          <w:caps/>
          <w:color w:val="0F0F0F"/>
          <w:sz w:val="2"/>
          <w:szCs w:val="2"/>
          <w:lang w:eastAsia="en-GB"/>
        </w:rPr>
        <w:t>REGOLE</w:t>
      </w:r>
    </w:p>
    <w:p w14:paraId="500C69C3" w14:textId="77777777" w:rsidR="00D22818" w:rsidRDefault="00D22818" w:rsidP="00D22818">
      <w:pPr>
        <w:shd w:val="clear" w:color="auto" w:fill="F5E5D5"/>
        <w:spacing w:after="225" w:line="240" w:lineRule="auto"/>
        <w:outlineLvl w:val="0"/>
        <w:rPr>
          <w:rFonts w:ascii="Georgia" w:eastAsia="Times New Roman" w:hAnsi="Georgia" w:cs="Times New Roman"/>
          <w:color w:val="0F0F0F"/>
          <w:kern w:val="36"/>
          <w:sz w:val="48"/>
          <w:szCs w:val="48"/>
          <w:lang w:eastAsia="en-GB"/>
        </w:rPr>
      </w:pPr>
      <w:r>
        <w:br/>
      </w:r>
      <w:r>
        <w:rPr>
          <w:rFonts w:ascii="Arial" w:hAnsi="Arial" w:cs="Arial"/>
          <w:color w:val="222222"/>
          <w:sz w:val="42"/>
          <w:szCs w:val="42"/>
          <w:shd w:val="clear" w:color="auto" w:fill="F8F9FA"/>
        </w:rPr>
        <w:t xml:space="preserve">Il Sole 24 Ore - Milano </w:t>
      </w:r>
      <w:proofErr w:type="spellStart"/>
      <w:r>
        <w:rPr>
          <w:rFonts w:ascii="Arial" w:hAnsi="Arial" w:cs="Arial"/>
          <w:color w:val="222222"/>
          <w:sz w:val="42"/>
          <w:szCs w:val="42"/>
          <w:shd w:val="clear" w:color="auto" w:fill="F8F9FA"/>
        </w:rPr>
        <w:t>Finanza</w:t>
      </w:r>
      <w:proofErr w:type="spellEnd"/>
    </w:p>
    <w:p w14:paraId="07423D14" w14:textId="77777777" w:rsidR="00D22818" w:rsidRDefault="00D22818" w:rsidP="00D22818">
      <w:pPr>
        <w:shd w:val="clear" w:color="auto" w:fill="F5E5D5"/>
        <w:spacing w:after="225" w:line="240" w:lineRule="auto"/>
        <w:outlineLvl w:val="0"/>
        <w:rPr>
          <w:rFonts w:ascii="Georgia" w:eastAsia="Times New Roman" w:hAnsi="Georgia" w:cs="Times New Roman"/>
          <w:color w:val="0F0F0F"/>
          <w:kern w:val="36"/>
          <w:sz w:val="48"/>
          <w:szCs w:val="48"/>
          <w:lang w:eastAsia="en-GB"/>
        </w:rPr>
      </w:pPr>
    </w:p>
    <w:p w14:paraId="132DD693" w14:textId="77777777" w:rsidR="00D22818" w:rsidRPr="00D22818" w:rsidRDefault="00D22818" w:rsidP="00D22818">
      <w:pPr>
        <w:shd w:val="clear" w:color="auto" w:fill="F5E5D5"/>
        <w:spacing w:after="225" w:line="240" w:lineRule="auto"/>
        <w:outlineLvl w:val="0"/>
        <w:rPr>
          <w:rFonts w:ascii="Georgia" w:eastAsia="Times New Roman" w:hAnsi="Georgia" w:cs="Times New Roman"/>
          <w:color w:val="0F0F0F"/>
          <w:kern w:val="36"/>
          <w:sz w:val="48"/>
          <w:szCs w:val="48"/>
          <w:lang w:eastAsia="en-GB"/>
        </w:rPr>
      </w:pPr>
      <w:r w:rsidRPr="00D22818">
        <w:rPr>
          <w:rFonts w:ascii="Georgia" w:eastAsia="Times New Roman" w:hAnsi="Georgia" w:cs="Times New Roman"/>
          <w:color w:val="0F0F0F"/>
          <w:kern w:val="36"/>
          <w:sz w:val="48"/>
          <w:szCs w:val="48"/>
          <w:lang w:eastAsia="en-GB"/>
        </w:rPr>
        <w:t xml:space="preserve">Mifid2 fa la </w:t>
      </w:r>
      <w:proofErr w:type="spellStart"/>
      <w:r w:rsidRPr="00D22818">
        <w:rPr>
          <w:rFonts w:ascii="Georgia" w:eastAsia="Times New Roman" w:hAnsi="Georgia" w:cs="Times New Roman"/>
          <w:color w:val="0F0F0F"/>
          <w:kern w:val="36"/>
          <w:sz w:val="48"/>
          <w:szCs w:val="48"/>
          <w:lang w:eastAsia="en-GB"/>
        </w:rPr>
        <w:t>sua</w:t>
      </w:r>
      <w:proofErr w:type="spellEnd"/>
      <w:r w:rsidRPr="00D22818">
        <w:rPr>
          <w:rFonts w:ascii="Georgia" w:eastAsia="Times New Roman" w:hAnsi="Georgia" w:cs="Times New Roman"/>
          <w:color w:val="0F0F0F"/>
          <w:kern w:val="36"/>
          <w:sz w:val="48"/>
          <w:szCs w:val="48"/>
          <w:lang w:eastAsia="en-GB"/>
        </w:rPr>
        <w:t xml:space="preserve"> prima </w:t>
      </w:r>
      <w:proofErr w:type="spellStart"/>
      <w:r w:rsidRPr="00D22818">
        <w:rPr>
          <w:rFonts w:ascii="Georgia" w:eastAsia="Times New Roman" w:hAnsi="Georgia" w:cs="Times New Roman"/>
          <w:color w:val="0F0F0F"/>
          <w:kern w:val="36"/>
          <w:sz w:val="48"/>
          <w:szCs w:val="48"/>
          <w:lang w:eastAsia="en-GB"/>
        </w:rPr>
        <w:t>vittima</w:t>
      </w:r>
      <w:proofErr w:type="spellEnd"/>
      <w:r w:rsidRPr="00D22818">
        <w:rPr>
          <w:rFonts w:ascii="Georgia" w:eastAsia="Times New Roman" w:hAnsi="Georgia" w:cs="Times New Roman"/>
          <w:color w:val="0F0F0F"/>
          <w:kern w:val="36"/>
          <w:sz w:val="48"/>
          <w:szCs w:val="48"/>
          <w:lang w:eastAsia="en-GB"/>
        </w:rPr>
        <w:t xml:space="preserve">: </w:t>
      </w:r>
      <w:proofErr w:type="spellStart"/>
      <w:r w:rsidRPr="00D22818">
        <w:rPr>
          <w:rFonts w:ascii="Georgia" w:eastAsia="Times New Roman" w:hAnsi="Georgia" w:cs="Times New Roman"/>
          <w:color w:val="0F0F0F"/>
          <w:kern w:val="36"/>
          <w:sz w:val="48"/>
          <w:szCs w:val="48"/>
          <w:lang w:eastAsia="en-GB"/>
        </w:rPr>
        <w:t>tagliata</w:t>
      </w:r>
      <w:proofErr w:type="spellEnd"/>
      <w:r w:rsidRPr="00D22818">
        <w:rPr>
          <w:rFonts w:ascii="Georgia" w:eastAsia="Times New Roman" w:hAnsi="Georgia" w:cs="Times New Roman"/>
          <w:color w:val="0F0F0F"/>
          <w:kern w:val="36"/>
          <w:sz w:val="48"/>
          <w:szCs w:val="48"/>
          <w:lang w:eastAsia="en-GB"/>
        </w:rPr>
        <w:t xml:space="preserve"> </w:t>
      </w:r>
      <w:proofErr w:type="spellStart"/>
      <w:r w:rsidRPr="00D22818">
        <w:rPr>
          <w:rFonts w:ascii="Georgia" w:eastAsia="Times New Roman" w:hAnsi="Georgia" w:cs="Times New Roman"/>
          <w:color w:val="0F0F0F"/>
          <w:kern w:val="36"/>
          <w:sz w:val="48"/>
          <w:szCs w:val="48"/>
          <w:lang w:eastAsia="en-GB"/>
        </w:rPr>
        <w:t>l’analisi</w:t>
      </w:r>
      <w:proofErr w:type="spellEnd"/>
      <w:r w:rsidRPr="00D22818">
        <w:rPr>
          <w:rFonts w:ascii="Georgia" w:eastAsia="Times New Roman" w:hAnsi="Georgia" w:cs="Times New Roman"/>
          <w:color w:val="0F0F0F"/>
          <w:kern w:val="36"/>
          <w:sz w:val="48"/>
          <w:szCs w:val="48"/>
          <w:lang w:eastAsia="en-GB"/>
        </w:rPr>
        <w:t xml:space="preserve"> </w:t>
      </w:r>
      <w:proofErr w:type="spellStart"/>
      <w:r w:rsidRPr="00D22818">
        <w:rPr>
          <w:rFonts w:ascii="Georgia" w:eastAsia="Times New Roman" w:hAnsi="Georgia" w:cs="Times New Roman"/>
          <w:color w:val="0F0F0F"/>
          <w:kern w:val="36"/>
          <w:sz w:val="48"/>
          <w:szCs w:val="48"/>
          <w:lang w:eastAsia="en-GB"/>
        </w:rPr>
        <w:t>sulle</w:t>
      </w:r>
      <w:proofErr w:type="spellEnd"/>
      <w:r w:rsidRPr="00D22818">
        <w:rPr>
          <w:rFonts w:ascii="Georgia" w:eastAsia="Times New Roman" w:hAnsi="Georgia" w:cs="Times New Roman"/>
          <w:color w:val="0F0F0F"/>
          <w:kern w:val="36"/>
          <w:sz w:val="48"/>
          <w:szCs w:val="48"/>
          <w:lang w:eastAsia="en-GB"/>
        </w:rPr>
        <w:t xml:space="preserve"> </w:t>
      </w:r>
      <w:proofErr w:type="spellStart"/>
      <w:r w:rsidRPr="00D22818">
        <w:rPr>
          <w:rFonts w:ascii="Georgia" w:eastAsia="Times New Roman" w:hAnsi="Georgia" w:cs="Times New Roman"/>
          <w:color w:val="0F0F0F"/>
          <w:kern w:val="36"/>
          <w:sz w:val="48"/>
          <w:szCs w:val="48"/>
          <w:lang w:eastAsia="en-GB"/>
        </w:rPr>
        <w:t>società</w:t>
      </w:r>
      <w:proofErr w:type="spellEnd"/>
      <w:r w:rsidRPr="00D22818">
        <w:rPr>
          <w:rFonts w:ascii="Georgia" w:eastAsia="Times New Roman" w:hAnsi="Georgia" w:cs="Times New Roman"/>
          <w:color w:val="0F0F0F"/>
          <w:kern w:val="36"/>
          <w:sz w:val="48"/>
          <w:szCs w:val="48"/>
          <w:lang w:eastAsia="en-GB"/>
        </w:rPr>
        <w:t xml:space="preserve"> </w:t>
      </w:r>
      <w:proofErr w:type="spellStart"/>
      <w:r w:rsidRPr="00D22818">
        <w:rPr>
          <w:rFonts w:ascii="Georgia" w:eastAsia="Times New Roman" w:hAnsi="Georgia" w:cs="Times New Roman"/>
          <w:color w:val="0F0F0F"/>
          <w:kern w:val="36"/>
          <w:sz w:val="48"/>
          <w:szCs w:val="48"/>
          <w:lang w:eastAsia="en-GB"/>
        </w:rPr>
        <w:t>italiane</w:t>
      </w:r>
      <w:proofErr w:type="spellEnd"/>
    </w:p>
    <w:p w14:paraId="608D829E" w14:textId="77777777" w:rsidR="00D22818" w:rsidRPr="00D22818" w:rsidRDefault="00D22818" w:rsidP="00D22818">
      <w:pPr>
        <w:shd w:val="clear" w:color="auto" w:fill="F5E5D5"/>
        <w:spacing w:line="240" w:lineRule="auto"/>
        <w:rPr>
          <w:rFonts w:ascii="Georgia" w:eastAsia="Times New Roman" w:hAnsi="Georgia" w:cs="Times New Roman"/>
          <w:color w:val="0F0F0F"/>
          <w:sz w:val="23"/>
          <w:szCs w:val="23"/>
          <w:lang w:eastAsia="en-GB"/>
        </w:rPr>
      </w:pPr>
      <w:r w:rsidRPr="00D22818">
        <w:rPr>
          <w:rFonts w:ascii="Georgia" w:eastAsia="Times New Roman" w:hAnsi="Georgia" w:cs="Times New Roman"/>
          <w:color w:val="0F0F0F"/>
          <w:sz w:val="23"/>
          <w:szCs w:val="23"/>
          <w:lang w:eastAsia="en-GB"/>
        </w:rPr>
        <w:t xml:space="preserve">di Maximilian </w:t>
      </w:r>
      <w:proofErr w:type="spellStart"/>
      <w:r w:rsidRPr="00D22818">
        <w:rPr>
          <w:rFonts w:ascii="Georgia" w:eastAsia="Times New Roman" w:hAnsi="Georgia" w:cs="Times New Roman"/>
          <w:color w:val="0F0F0F"/>
          <w:sz w:val="23"/>
          <w:szCs w:val="23"/>
          <w:lang w:eastAsia="en-GB"/>
        </w:rPr>
        <w:t>Cellino</w:t>
      </w:r>
      <w:proofErr w:type="spellEnd"/>
    </w:p>
    <w:p w14:paraId="2FD8D099" w14:textId="77777777" w:rsidR="00D22818" w:rsidRPr="00D22818" w:rsidRDefault="00D22818" w:rsidP="00D22818">
      <w:pPr>
        <w:shd w:val="clear" w:color="auto" w:fill="F5E5D5"/>
        <w:spacing w:after="0" w:line="240" w:lineRule="auto"/>
        <w:rPr>
          <w:rFonts w:ascii="Georgia" w:eastAsia="Times New Roman" w:hAnsi="Georgia" w:cs="Times New Roman"/>
          <w:color w:val="0F0F0F"/>
          <w:sz w:val="23"/>
          <w:szCs w:val="23"/>
          <w:lang w:eastAsia="en-GB"/>
        </w:rPr>
      </w:pPr>
    </w:p>
    <w:p w14:paraId="2BC75852" w14:textId="77777777" w:rsidR="00D22818" w:rsidRPr="00D22818" w:rsidRDefault="00D22818" w:rsidP="00D22818">
      <w:pPr>
        <w:shd w:val="clear" w:color="auto" w:fill="F5E5D5"/>
        <w:spacing w:after="75" w:line="240" w:lineRule="auto"/>
        <w:rPr>
          <w:rFonts w:ascii="Arial" w:eastAsia="Times New Roman" w:hAnsi="Arial" w:cs="Arial"/>
          <w:color w:val="0F0F0F"/>
          <w:sz w:val="23"/>
          <w:szCs w:val="23"/>
          <w:lang w:eastAsia="en-GB"/>
        </w:rPr>
      </w:pPr>
      <w:r w:rsidRPr="00D22818">
        <w:rPr>
          <w:rFonts w:ascii="Arial" w:eastAsia="Times New Roman" w:hAnsi="Arial" w:cs="Arial"/>
          <w:color w:val="0F0F0F"/>
          <w:sz w:val="23"/>
          <w:szCs w:val="23"/>
          <w:lang w:eastAsia="en-GB"/>
        </w:rPr>
        <w:t xml:space="preserve">3' di </w:t>
      </w:r>
      <w:proofErr w:type="spellStart"/>
      <w:r w:rsidRPr="00D22818">
        <w:rPr>
          <w:rFonts w:ascii="Arial" w:eastAsia="Times New Roman" w:hAnsi="Arial" w:cs="Arial"/>
          <w:color w:val="0F0F0F"/>
          <w:sz w:val="23"/>
          <w:szCs w:val="23"/>
          <w:lang w:eastAsia="en-GB"/>
        </w:rPr>
        <w:t>lettura</w:t>
      </w:r>
      <w:proofErr w:type="spellEnd"/>
    </w:p>
    <w:p w14:paraId="19941A5B" w14:textId="77777777" w:rsidR="00D22818" w:rsidRPr="00D22818" w:rsidRDefault="00D22818" w:rsidP="00D22818">
      <w:pPr>
        <w:shd w:val="clear" w:color="auto" w:fill="F5E5D5"/>
        <w:spacing w:after="450" w:line="240" w:lineRule="auto"/>
        <w:rPr>
          <w:rFonts w:ascii="Georgia" w:eastAsia="Times New Roman" w:hAnsi="Georgia" w:cs="Times New Roman"/>
          <w:color w:val="0F0F0F"/>
          <w:sz w:val="23"/>
          <w:szCs w:val="23"/>
          <w:lang w:eastAsia="en-GB"/>
        </w:rPr>
      </w:pPr>
      <w:r w:rsidRPr="00D22818">
        <w:rPr>
          <w:rFonts w:ascii="Georgia" w:eastAsia="Times New Roman" w:hAnsi="Georgia" w:cs="Times New Roman"/>
          <w:color w:val="0F0F0F"/>
          <w:sz w:val="23"/>
          <w:szCs w:val="23"/>
          <w:lang w:eastAsia="en-GB"/>
        </w:rPr>
        <w:t xml:space="preserve">Quasi un anno e mezzo </w:t>
      </w:r>
      <w:proofErr w:type="spellStart"/>
      <w:r w:rsidRPr="00D22818">
        <w:rPr>
          <w:rFonts w:ascii="Georgia" w:eastAsia="Times New Roman" w:hAnsi="Georgia" w:cs="Times New Roman"/>
          <w:color w:val="0F0F0F"/>
          <w:sz w:val="23"/>
          <w:szCs w:val="23"/>
          <w:lang w:eastAsia="en-GB"/>
        </w:rPr>
        <w:t>ormai</w:t>
      </w:r>
      <w:proofErr w:type="spellEnd"/>
      <w:r w:rsidRPr="00D22818">
        <w:rPr>
          <w:rFonts w:ascii="Georgia" w:eastAsia="Times New Roman" w:hAnsi="Georgia" w:cs="Times New Roman"/>
          <w:color w:val="0F0F0F"/>
          <w:sz w:val="23"/>
          <w:szCs w:val="23"/>
          <w:lang w:eastAsia="en-GB"/>
        </w:rPr>
        <w:t xml:space="preserve">. Tanto è </w:t>
      </w:r>
      <w:proofErr w:type="spellStart"/>
      <w:r w:rsidRPr="00D22818">
        <w:rPr>
          <w:rFonts w:ascii="Georgia" w:eastAsia="Times New Roman" w:hAnsi="Georgia" w:cs="Times New Roman"/>
          <w:color w:val="0F0F0F"/>
          <w:sz w:val="23"/>
          <w:szCs w:val="23"/>
          <w:lang w:eastAsia="en-GB"/>
        </w:rPr>
        <w:t>trascorso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dall’ingresso</w:t>
      </w:r>
      <w:proofErr w:type="spellEnd"/>
      <w:r w:rsidRPr="00D22818">
        <w:rPr>
          <w:rFonts w:ascii="Georgia" w:eastAsia="Times New Roman" w:hAnsi="Georgia" w:cs="Times New Roman"/>
          <w:color w:val="0F0F0F"/>
          <w:sz w:val="23"/>
          <w:szCs w:val="23"/>
          <w:lang w:eastAsia="en-GB"/>
        </w:rPr>
        <w:t xml:space="preserve"> di </w:t>
      </w:r>
      <w:proofErr w:type="spellStart"/>
      <w:r w:rsidRPr="00D22818">
        <w:rPr>
          <w:rFonts w:ascii="Georgia" w:eastAsia="Times New Roman" w:hAnsi="Georgia" w:cs="Times New Roman"/>
          <w:color w:val="0F0F0F"/>
          <w:sz w:val="23"/>
          <w:szCs w:val="23"/>
          <w:lang w:eastAsia="en-GB"/>
        </w:rPr>
        <w:fldChar w:fldCharType="begin"/>
      </w:r>
      <w:r w:rsidRPr="00D22818">
        <w:rPr>
          <w:rFonts w:ascii="Georgia" w:eastAsia="Times New Roman" w:hAnsi="Georgia" w:cs="Times New Roman"/>
          <w:color w:val="0F0F0F"/>
          <w:sz w:val="23"/>
          <w:szCs w:val="23"/>
          <w:lang w:eastAsia="en-GB"/>
        </w:rPr>
        <w:instrText xml:space="preserve"> HYPERLINK "https://argomenti.ilsole24ore.com/parolechiave/mifid-2.html" \t "_blank" </w:instrText>
      </w:r>
      <w:r w:rsidRPr="00D22818">
        <w:rPr>
          <w:rFonts w:ascii="Georgia" w:eastAsia="Times New Roman" w:hAnsi="Georgia" w:cs="Times New Roman"/>
          <w:color w:val="0F0F0F"/>
          <w:sz w:val="23"/>
          <w:szCs w:val="23"/>
          <w:lang w:eastAsia="en-GB"/>
        </w:rPr>
        <w:fldChar w:fldCharType="separate"/>
      </w:r>
      <w:r w:rsidRPr="00D22818">
        <w:rPr>
          <w:rFonts w:ascii="Georgia" w:eastAsia="Times New Roman" w:hAnsi="Georgia" w:cs="Times New Roman"/>
          <w:color w:val="870042"/>
          <w:sz w:val="23"/>
          <w:szCs w:val="23"/>
          <w:u w:val="single"/>
          <w:lang w:eastAsia="en-GB"/>
        </w:rPr>
        <w:t>Mifid</w:t>
      </w:r>
      <w:proofErr w:type="spellEnd"/>
      <w:r w:rsidRPr="00D22818">
        <w:rPr>
          <w:rFonts w:ascii="Georgia" w:eastAsia="Times New Roman" w:hAnsi="Georgia" w:cs="Times New Roman"/>
          <w:color w:val="870042"/>
          <w:sz w:val="23"/>
          <w:szCs w:val="23"/>
          <w:u w:val="single"/>
          <w:lang w:eastAsia="en-GB"/>
        </w:rPr>
        <w:t xml:space="preserve"> 2</w:t>
      </w:r>
      <w:r w:rsidRPr="00D22818">
        <w:rPr>
          <w:rFonts w:ascii="Georgia" w:eastAsia="Times New Roman" w:hAnsi="Georgia" w:cs="Times New Roman"/>
          <w:color w:val="0F0F0F"/>
          <w:sz w:val="23"/>
          <w:szCs w:val="23"/>
          <w:lang w:eastAsia="en-GB"/>
        </w:rPr>
        <w:fldChar w:fldCharType="end"/>
      </w:r>
      <w:r w:rsidRPr="00D22818">
        <w:rPr>
          <w:rFonts w:ascii="Georgia" w:eastAsia="Times New Roman" w:hAnsi="Georgia" w:cs="Times New Roman"/>
          <w:color w:val="0F0F0F"/>
          <w:sz w:val="23"/>
          <w:szCs w:val="23"/>
          <w:lang w:eastAsia="en-GB"/>
        </w:rPr>
        <w:t> </w:t>
      </w:r>
      <w:proofErr w:type="spellStart"/>
      <w:r w:rsidRPr="00D22818">
        <w:rPr>
          <w:rFonts w:ascii="Georgia" w:eastAsia="Times New Roman" w:hAnsi="Georgia" w:cs="Times New Roman"/>
          <w:color w:val="0F0F0F"/>
          <w:sz w:val="23"/>
          <w:szCs w:val="23"/>
          <w:lang w:eastAsia="en-GB"/>
        </w:rPr>
        <w:t>i</w:t>
      </w:r>
      <w:proofErr w:type="spellEnd"/>
      <w:r w:rsidRPr="00D22818">
        <w:rPr>
          <w:rFonts w:ascii="Georgia" w:eastAsia="Times New Roman" w:hAnsi="Georgia" w:cs="Times New Roman"/>
          <w:color w:val="0F0F0F"/>
          <w:sz w:val="23"/>
          <w:szCs w:val="23"/>
          <w:lang w:eastAsia="en-GB"/>
        </w:rPr>
        <w:t xml:space="preserve"> cui </w:t>
      </w:r>
      <w:proofErr w:type="spellStart"/>
      <w:r w:rsidRPr="00D22818">
        <w:rPr>
          <w:rFonts w:ascii="Georgia" w:eastAsia="Times New Roman" w:hAnsi="Georgia" w:cs="Times New Roman"/>
          <w:color w:val="0F0F0F"/>
          <w:sz w:val="23"/>
          <w:szCs w:val="23"/>
          <w:lang w:eastAsia="en-GB"/>
        </w:rPr>
        <w:t>impatti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sul</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mondo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degli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investimenti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restano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ancora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tutti</w:t>
      </w:r>
      <w:proofErr w:type="spellEnd"/>
      <w:r w:rsidRPr="00D22818">
        <w:rPr>
          <w:rFonts w:ascii="Georgia" w:eastAsia="Times New Roman" w:hAnsi="Georgia" w:cs="Times New Roman"/>
          <w:color w:val="0F0F0F"/>
          <w:sz w:val="23"/>
          <w:szCs w:val="23"/>
          <w:lang w:eastAsia="en-GB"/>
        </w:rPr>
        <w:t xml:space="preserve"> da </w:t>
      </w:r>
      <w:proofErr w:type="spellStart"/>
      <w:r w:rsidRPr="00D22818">
        <w:rPr>
          <w:rFonts w:ascii="Georgia" w:eastAsia="Times New Roman" w:hAnsi="Georgia" w:cs="Times New Roman"/>
          <w:color w:val="0F0F0F"/>
          <w:sz w:val="23"/>
          <w:szCs w:val="23"/>
          <w:lang w:eastAsia="en-GB"/>
        </w:rPr>
        <w:t>valutare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nel</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momento</w:t>
      </w:r>
      <w:proofErr w:type="spellEnd"/>
      <w:r w:rsidRPr="00D22818">
        <w:rPr>
          <w:rFonts w:ascii="Georgia" w:eastAsia="Times New Roman" w:hAnsi="Georgia" w:cs="Times New Roman"/>
          <w:color w:val="0F0F0F"/>
          <w:sz w:val="23"/>
          <w:szCs w:val="23"/>
          <w:lang w:eastAsia="en-GB"/>
        </w:rPr>
        <w:t xml:space="preserve"> in cui </w:t>
      </w:r>
      <w:proofErr w:type="spellStart"/>
      <w:r w:rsidRPr="00D22818">
        <w:rPr>
          <w:rFonts w:ascii="Georgia" w:eastAsia="Times New Roman" w:hAnsi="Georgia" w:cs="Times New Roman"/>
          <w:color w:val="0F0F0F"/>
          <w:sz w:val="23"/>
          <w:szCs w:val="23"/>
          <w:lang w:eastAsia="en-GB"/>
        </w:rPr>
        <w: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clienti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stanno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iniziando</w:t>
      </w:r>
      <w:proofErr w:type="spellEnd"/>
      <w:r w:rsidRPr="00D22818">
        <w:rPr>
          <w:rFonts w:ascii="Georgia" w:eastAsia="Times New Roman" w:hAnsi="Georgia" w:cs="Times New Roman"/>
          <w:color w:val="0F0F0F"/>
          <w:sz w:val="23"/>
          <w:szCs w:val="23"/>
          <w:lang w:eastAsia="en-GB"/>
        </w:rPr>
        <w:t xml:space="preserve"> a </w:t>
      </w:r>
      <w:proofErr w:type="spellStart"/>
      <w:r w:rsidRPr="00D22818">
        <w:rPr>
          <w:rFonts w:ascii="Georgia" w:eastAsia="Times New Roman" w:hAnsi="Georgia" w:cs="Times New Roman"/>
          <w:color w:val="0F0F0F"/>
          <w:sz w:val="23"/>
          <w:szCs w:val="23"/>
          <w:lang w:eastAsia="en-GB"/>
        </w:rPr>
        <w:t>ricevere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gli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attesi</w:t>
      </w:r>
      <w:proofErr w:type="spellEnd"/>
      <w:r w:rsidRPr="00D22818">
        <w:rPr>
          <w:rFonts w:ascii="Georgia" w:eastAsia="Times New Roman" w:hAnsi="Georgia" w:cs="Times New Roman"/>
          <w:color w:val="0F0F0F"/>
          <w:sz w:val="23"/>
          <w:szCs w:val="23"/>
          <w:lang w:eastAsia="en-GB"/>
        </w:rPr>
        <w:t xml:space="preserve"> (e </w:t>
      </w:r>
      <w:proofErr w:type="spellStart"/>
      <w:r w:rsidRPr="00D22818">
        <w:rPr>
          <w:rFonts w:ascii="Georgia" w:eastAsia="Times New Roman" w:hAnsi="Georgia" w:cs="Times New Roman"/>
          <w:color w:val="0F0F0F"/>
          <w:sz w:val="23"/>
          <w:szCs w:val="23"/>
          <w:lang w:eastAsia="en-GB"/>
        </w:rPr>
        <w:t>temuti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prospetti</w:t>
      </w:r>
      <w:proofErr w:type="spellEnd"/>
      <w:r w:rsidRPr="00D22818">
        <w:rPr>
          <w:rFonts w:ascii="Georgia" w:eastAsia="Times New Roman" w:hAnsi="Georgia" w:cs="Times New Roman"/>
          <w:color w:val="0F0F0F"/>
          <w:sz w:val="23"/>
          <w:szCs w:val="23"/>
          <w:lang w:eastAsia="en-GB"/>
        </w:rPr>
        <w:t xml:space="preserve"> sui </w:t>
      </w:r>
      <w:proofErr w:type="spellStart"/>
      <w:r w:rsidRPr="00D22818">
        <w:rPr>
          <w:rFonts w:ascii="Georgia" w:eastAsia="Times New Roman" w:hAnsi="Georgia" w:cs="Times New Roman"/>
          <w:color w:val="0F0F0F"/>
          <w:sz w:val="23"/>
          <w:szCs w:val="23"/>
          <w:lang w:eastAsia="en-GB"/>
        </w:rPr>
        <w:t>costi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legati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alle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commissioni</w:t>
      </w:r>
      <w:proofErr w:type="spellEnd"/>
      <w:r w:rsidRPr="00D22818">
        <w:rPr>
          <w:rFonts w:ascii="Georgia" w:eastAsia="Times New Roman" w:hAnsi="Georgia" w:cs="Times New Roman"/>
          <w:color w:val="0F0F0F"/>
          <w:sz w:val="23"/>
          <w:szCs w:val="23"/>
          <w:lang w:eastAsia="en-GB"/>
        </w:rPr>
        <w:t xml:space="preserve"> sui </w:t>
      </w:r>
      <w:proofErr w:type="spellStart"/>
      <w:r w:rsidRPr="00D22818">
        <w:rPr>
          <w:rFonts w:ascii="Georgia" w:eastAsia="Times New Roman" w:hAnsi="Georgia" w:cs="Times New Roman"/>
          <w:color w:val="0F0F0F"/>
          <w:sz w:val="23"/>
          <w:szCs w:val="23"/>
          <w:lang w:eastAsia="en-GB"/>
        </w:rPr>
        <w:t>prodotti</w:t>
      </w:r>
      <w:proofErr w:type="spellEnd"/>
      <w:r w:rsidRPr="00D22818">
        <w:rPr>
          <w:rFonts w:ascii="Georgia" w:eastAsia="Times New Roman" w:hAnsi="Georgia" w:cs="Times New Roman"/>
          <w:color w:val="0F0F0F"/>
          <w:sz w:val="23"/>
          <w:szCs w:val="23"/>
          <w:lang w:eastAsia="en-GB"/>
        </w:rPr>
        <w:t xml:space="preserve"> di </w:t>
      </w:r>
      <w:proofErr w:type="spellStart"/>
      <w:r w:rsidRPr="00D22818">
        <w:rPr>
          <w:rFonts w:ascii="Georgia" w:eastAsia="Times New Roman" w:hAnsi="Georgia" w:cs="Times New Roman"/>
          <w:color w:val="0F0F0F"/>
          <w:sz w:val="23"/>
          <w:szCs w:val="23"/>
          <w:lang w:eastAsia="en-GB"/>
        </w:rPr>
        <w:t>risparmio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Qualche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certezza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inizia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però</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già</w:t>
      </w:r>
      <w:proofErr w:type="spellEnd"/>
      <w:r w:rsidRPr="00D22818">
        <w:rPr>
          <w:rFonts w:ascii="Georgia" w:eastAsia="Times New Roman" w:hAnsi="Georgia" w:cs="Times New Roman"/>
          <w:color w:val="0F0F0F"/>
          <w:sz w:val="23"/>
          <w:szCs w:val="23"/>
          <w:lang w:eastAsia="en-GB"/>
        </w:rPr>
        <w:t xml:space="preserve"> ad </w:t>
      </w:r>
      <w:proofErr w:type="spellStart"/>
      <w:r w:rsidRPr="00D22818">
        <w:rPr>
          <w:rFonts w:ascii="Georgia" w:eastAsia="Times New Roman" w:hAnsi="Georgia" w:cs="Times New Roman"/>
          <w:color w:val="0F0F0F"/>
          <w:sz w:val="23"/>
          <w:szCs w:val="23"/>
          <w:lang w:eastAsia="en-GB"/>
        </w:rPr>
        <w:t>apparire</w:t>
      </w:r>
      <w:proofErr w:type="spellEnd"/>
      <w:r w:rsidRPr="00D22818">
        <w:rPr>
          <w:rFonts w:ascii="Georgia" w:eastAsia="Times New Roman" w:hAnsi="Georgia" w:cs="Times New Roman"/>
          <w:color w:val="0F0F0F"/>
          <w:sz w:val="23"/>
          <w:szCs w:val="23"/>
          <w:lang w:eastAsia="en-GB"/>
        </w:rPr>
        <w:t xml:space="preserve"> in un </w:t>
      </w:r>
      <w:proofErr w:type="spellStart"/>
      <w:r w:rsidRPr="00D22818">
        <w:rPr>
          <w:rFonts w:ascii="Georgia" w:eastAsia="Times New Roman" w:hAnsi="Georgia" w:cs="Times New Roman"/>
          <w:color w:val="0F0F0F"/>
          <w:sz w:val="23"/>
          <w:szCs w:val="23"/>
          <w:lang w:eastAsia="en-GB"/>
        </w:rPr>
        <w:t>aspetto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collaterale</w:t>
      </w:r>
      <w:proofErr w:type="spellEnd"/>
      <w:r w:rsidRPr="00D22818">
        <w:rPr>
          <w:rFonts w:ascii="Georgia" w:eastAsia="Times New Roman" w:hAnsi="Georgia" w:cs="Times New Roman"/>
          <w:color w:val="0F0F0F"/>
          <w:sz w:val="23"/>
          <w:szCs w:val="23"/>
          <w:lang w:eastAsia="en-GB"/>
        </w:rPr>
        <w:t xml:space="preserve">, ma non per </w:t>
      </w:r>
      <w:proofErr w:type="spellStart"/>
      <w:r w:rsidRPr="00D22818">
        <w:rPr>
          <w:rFonts w:ascii="Georgia" w:eastAsia="Times New Roman" w:hAnsi="Georgia" w:cs="Times New Roman"/>
          <w:color w:val="0F0F0F"/>
          <w:sz w:val="23"/>
          <w:szCs w:val="23"/>
          <w:lang w:eastAsia="en-GB"/>
        </w:rPr>
        <w:t>questo</w:t>
      </w:r>
      <w:proofErr w:type="spellEnd"/>
      <w:r w:rsidRPr="00D22818">
        <w:rPr>
          <w:rFonts w:ascii="Georgia" w:eastAsia="Times New Roman" w:hAnsi="Georgia" w:cs="Times New Roman"/>
          <w:color w:val="0F0F0F"/>
          <w:sz w:val="23"/>
          <w:szCs w:val="23"/>
          <w:lang w:eastAsia="en-GB"/>
        </w:rPr>
        <w:t xml:space="preserve"> di </w:t>
      </w:r>
      <w:proofErr w:type="spellStart"/>
      <w:r w:rsidRPr="00D22818">
        <w:rPr>
          <w:rFonts w:ascii="Georgia" w:eastAsia="Times New Roman" w:hAnsi="Georgia" w:cs="Times New Roman"/>
          <w:color w:val="0F0F0F"/>
          <w:sz w:val="23"/>
          <w:szCs w:val="23"/>
          <w:lang w:eastAsia="en-GB"/>
        </w:rPr>
        <w:t>minore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importanza</w:t>
      </w:r>
      <w:proofErr w:type="spellEnd"/>
      <w:r w:rsidRPr="00D22818">
        <w:rPr>
          <w:rFonts w:ascii="Georgia" w:eastAsia="Times New Roman" w:hAnsi="Georgia" w:cs="Times New Roman"/>
          <w:color w:val="0F0F0F"/>
          <w:sz w:val="23"/>
          <w:szCs w:val="23"/>
          <w:lang w:eastAsia="en-GB"/>
        </w:rPr>
        <w:t xml:space="preserve">: la </w:t>
      </w:r>
      <w:proofErr w:type="spellStart"/>
      <w:r w:rsidRPr="00D22818">
        <w:rPr>
          <w:rFonts w:ascii="Georgia" w:eastAsia="Times New Roman" w:hAnsi="Georgia" w:cs="Times New Roman"/>
          <w:color w:val="0F0F0F"/>
          <w:sz w:val="23"/>
          <w:szCs w:val="23"/>
          <w:lang w:eastAsia="en-GB"/>
        </w:rPr>
        <w:t>ricerca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finanziaria</w:t>
      </w:r>
      <w:proofErr w:type="spellEnd"/>
      <w:r w:rsidRPr="00D22818">
        <w:rPr>
          <w:rFonts w:ascii="Georgia" w:eastAsia="Times New Roman" w:hAnsi="Georgia" w:cs="Times New Roman"/>
          <w:color w:val="0F0F0F"/>
          <w:sz w:val="23"/>
          <w:szCs w:val="23"/>
          <w:lang w:eastAsia="en-GB"/>
        </w:rPr>
        <w:t xml:space="preserve"> ha </w:t>
      </w:r>
      <w:proofErr w:type="spellStart"/>
      <w:r w:rsidRPr="00D22818">
        <w:rPr>
          <w:rFonts w:ascii="Georgia" w:eastAsia="Times New Roman" w:hAnsi="Georgia" w:cs="Times New Roman"/>
          <w:color w:val="0F0F0F"/>
          <w:sz w:val="23"/>
          <w:szCs w:val="23"/>
          <w:lang w:eastAsia="en-GB"/>
        </w:rPr>
        <w:t>subito</w:t>
      </w:r>
      <w:proofErr w:type="spellEnd"/>
      <w:r w:rsidRPr="00D22818">
        <w:rPr>
          <w:rFonts w:ascii="Georgia" w:eastAsia="Times New Roman" w:hAnsi="Georgia" w:cs="Times New Roman"/>
          <w:color w:val="0F0F0F"/>
          <w:sz w:val="23"/>
          <w:szCs w:val="23"/>
          <w:lang w:eastAsia="en-GB"/>
        </w:rPr>
        <w:t xml:space="preserve"> una </w:t>
      </w:r>
      <w:proofErr w:type="spellStart"/>
      <w:r w:rsidRPr="00D22818">
        <w:rPr>
          <w:rFonts w:ascii="Georgia" w:eastAsia="Times New Roman" w:hAnsi="Georgia" w:cs="Times New Roman"/>
          <w:color w:val="0F0F0F"/>
          <w:sz w:val="23"/>
          <w:szCs w:val="23"/>
          <w:lang w:eastAsia="en-GB"/>
        </w:rPr>
        <w:t>battuta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d’arresto</w:t>
      </w:r>
      <w:proofErr w:type="spellEnd"/>
      <w:r w:rsidRPr="00D22818">
        <w:rPr>
          <w:rFonts w:ascii="Georgia" w:eastAsia="Times New Roman" w:hAnsi="Georgia" w:cs="Times New Roman"/>
          <w:color w:val="0F0F0F"/>
          <w:sz w:val="23"/>
          <w:szCs w:val="23"/>
          <w:lang w:eastAsia="en-GB"/>
        </w:rPr>
        <w:t xml:space="preserve">, in Italia come in </w:t>
      </w:r>
      <w:proofErr w:type="spellStart"/>
      <w:r w:rsidRPr="00D22818">
        <w:rPr>
          <w:rFonts w:ascii="Georgia" w:eastAsia="Times New Roman" w:hAnsi="Georgia" w:cs="Times New Roman"/>
          <w:color w:val="0F0F0F"/>
          <w:sz w:val="23"/>
          <w:szCs w:val="23"/>
          <w:lang w:eastAsia="en-GB"/>
        </w:rPr>
        <w:t>altri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Paesi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d’Europa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anche</w:t>
      </w:r>
      <w:proofErr w:type="spellEnd"/>
      <w:r w:rsidRPr="00D22818">
        <w:rPr>
          <w:rFonts w:ascii="Georgia" w:eastAsia="Times New Roman" w:hAnsi="Georgia" w:cs="Times New Roman"/>
          <w:color w:val="0F0F0F"/>
          <w:sz w:val="23"/>
          <w:szCs w:val="23"/>
          <w:lang w:eastAsia="en-GB"/>
        </w:rPr>
        <w:t xml:space="preserve"> a causa </w:t>
      </w:r>
      <w:proofErr w:type="spellStart"/>
      <w:r w:rsidRPr="00D22818">
        <w:rPr>
          <w:rFonts w:ascii="Georgia" w:eastAsia="Times New Roman" w:hAnsi="Georgia" w:cs="Times New Roman"/>
          <w:color w:val="0F0F0F"/>
          <w:sz w:val="23"/>
          <w:szCs w:val="23"/>
          <w:lang w:eastAsia="en-GB"/>
        </w:rPr>
        <w:t>dell’introduzione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della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direttiva</w:t>
      </w:r>
      <w:proofErr w:type="spellEnd"/>
      <w:r w:rsidRPr="00D22818">
        <w:rPr>
          <w:rFonts w:ascii="Georgia" w:eastAsia="Times New Roman" w:hAnsi="Georgia" w:cs="Times New Roman"/>
          <w:color w:val="0F0F0F"/>
          <w:sz w:val="23"/>
          <w:szCs w:val="23"/>
          <w:lang w:eastAsia="en-GB"/>
        </w:rPr>
        <w:t xml:space="preserve">. In </w:t>
      </w:r>
      <w:proofErr w:type="spellStart"/>
      <w:r w:rsidRPr="00D22818">
        <w:rPr>
          <w:rFonts w:ascii="Georgia" w:eastAsia="Times New Roman" w:hAnsi="Georgia" w:cs="Times New Roman"/>
          <w:color w:val="0F0F0F"/>
          <w:sz w:val="23"/>
          <w:szCs w:val="23"/>
          <w:lang w:eastAsia="en-GB"/>
        </w:rPr>
        <w:t>diciotto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mesi</w:t>
      </w:r>
      <w:proofErr w:type="spellEnd"/>
      <w:r w:rsidRPr="00D22818">
        <w:rPr>
          <w:rFonts w:ascii="Georgia" w:eastAsia="Times New Roman" w:hAnsi="Georgia" w:cs="Times New Roman"/>
          <w:color w:val="0F0F0F"/>
          <w:sz w:val="23"/>
          <w:szCs w:val="23"/>
          <w:lang w:eastAsia="en-GB"/>
        </w:rPr>
        <w:t xml:space="preserve"> è </w:t>
      </w:r>
      <w:proofErr w:type="spellStart"/>
      <w:r w:rsidRPr="00D22818">
        <w:rPr>
          <w:rFonts w:ascii="Georgia" w:eastAsia="Times New Roman" w:hAnsi="Georgia" w:cs="Times New Roman"/>
          <w:color w:val="0F0F0F"/>
          <w:sz w:val="23"/>
          <w:szCs w:val="23"/>
          <w:lang w:eastAsia="en-GB"/>
        </w:rPr>
        <w:t>diminuito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il</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numero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degli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analisti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quello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dei</w:t>
      </w:r>
      <w:proofErr w:type="spellEnd"/>
      <w:r w:rsidRPr="00D22818">
        <w:rPr>
          <w:rFonts w:ascii="Georgia" w:eastAsia="Times New Roman" w:hAnsi="Georgia" w:cs="Times New Roman"/>
          <w:color w:val="0F0F0F"/>
          <w:sz w:val="23"/>
          <w:szCs w:val="23"/>
          <w:lang w:eastAsia="en-GB"/>
        </w:rPr>
        <w:t xml:space="preserve"> report </w:t>
      </w:r>
      <w:proofErr w:type="spellStart"/>
      <w:r w:rsidRPr="00D22818">
        <w:rPr>
          <w:rFonts w:ascii="Georgia" w:eastAsia="Times New Roman" w:hAnsi="Georgia" w:cs="Times New Roman"/>
          <w:color w:val="0F0F0F"/>
          <w:sz w:val="23"/>
          <w:szCs w:val="23"/>
          <w:lang w:eastAsia="en-GB"/>
        </w:rPr>
        <w:t>pubblicati</w:t>
      </w:r>
      <w:proofErr w:type="spellEnd"/>
      <w:r w:rsidRPr="00D22818">
        <w:rPr>
          <w:rFonts w:ascii="Georgia" w:eastAsia="Times New Roman" w:hAnsi="Georgia" w:cs="Times New Roman"/>
          <w:color w:val="0F0F0F"/>
          <w:sz w:val="23"/>
          <w:szCs w:val="23"/>
          <w:lang w:eastAsia="en-GB"/>
        </w:rPr>
        <w:t xml:space="preserve"> e in </w:t>
      </w:r>
      <w:proofErr w:type="spellStart"/>
      <w:r w:rsidRPr="00D22818">
        <w:rPr>
          <w:rFonts w:ascii="Georgia" w:eastAsia="Times New Roman" w:hAnsi="Georgia" w:cs="Times New Roman"/>
          <w:color w:val="0F0F0F"/>
          <w:sz w:val="23"/>
          <w:szCs w:val="23"/>
          <w:lang w:eastAsia="en-GB"/>
        </w:rPr>
        <w:t>generale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si</w:t>
      </w:r>
      <w:proofErr w:type="spellEnd"/>
      <w:r w:rsidRPr="00D22818">
        <w:rPr>
          <w:rFonts w:ascii="Georgia" w:eastAsia="Times New Roman" w:hAnsi="Georgia" w:cs="Times New Roman"/>
          <w:color w:val="0F0F0F"/>
          <w:sz w:val="23"/>
          <w:szCs w:val="23"/>
          <w:lang w:eastAsia="en-GB"/>
        </w:rPr>
        <w:t xml:space="preserve"> è </w:t>
      </w:r>
      <w:proofErr w:type="spellStart"/>
      <w:r w:rsidRPr="00D22818">
        <w:rPr>
          <w:rFonts w:ascii="Georgia" w:eastAsia="Times New Roman" w:hAnsi="Georgia" w:cs="Times New Roman"/>
          <w:color w:val="0F0F0F"/>
          <w:sz w:val="23"/>
          <w:szCs w:val="23"/>
          <w:lang w:eastAsia="en-GB"/>
        </w:rPr>
        <w:t>ridotta</w:t>
      </w:r>
      <w:proofErr w:type="spellEnd"/>
      <w:r w:rsidRPr="00D22818">
        <w:rPr>
          <w:rFonts w:ascii="Georgia" w:eastAsia="Times New Roman" w:hAnsi="Georgia" w:cs="Times New Roman"/>
          <w:color w:val="0F0F0F"/>
          <w:sz w:val="23"/>
          <w:szCs w:val="23"/>
          <w:lang w:eastAsia="en-GB"/>
        </w:rPr>
        <w:t xml:space="preserve"> la </w:t>
      </w:r>
      <w:proofErr w:type="spellStart"/>
      <w:r w:rsidRPr="00D22818">
        <w:rPr>
          <w:rFonts w:ascii="Georgia" w:eastAsia="Times New Roman" w:hAnsi="Georgia" w:cs="Times New Roman"/>
          <w:color w:val="0F0F0F"/>
          <w:sz w:val="23"/>
          <w:szCs w:val="23"/>
          <w:lang w:eastAsia="en-GB"/>
        </w:rPr>
        <w:t>copertura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sulle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società</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quotate</w:t>
      </w:r>
      <w:proofErr w:type="spellEnd"/>
      <w:r w:rsidRPr="00D22818">
        <w:rPr>
          <w:rFonts w:ascii="Georgia" w:eastAsia="Times New Roman" w:hAnsi="Georgia" w:cs="Times New Roman"/>
          <w:color w:val="0F0F0F"/>
          <w:sz w:val="23"/>
          <w:szCs w:val="23"/>
          <w:lang w:eastAsia="en-GB"/>
        </w:rPr>
        <w:t xml:space="preserve"> a Piazza </w:t>
      </w:r>
      <w:proofErr w:type="spellStart"/>
      <w:r w:rsidRPr="00D22818">
        <w:rPr>
          <w:rFonts w:ascii="Georgia" w:eastAsia="Times New Roman" w:hAnsi="Georgia" w:cs="Times New Roman"/>
          <w:color w:val="0F0F0F"/>
          <w:sz w:val="23"/>
          <w:szCs w:val="23"/>
          <w:lang w:eastAsia="en-GB"/>
        </w:rPr>
        <w:t>Affari</w:t>
      </w:r>
      <w:proofErr w:type="spellEnd"/>
      <w:r w:rsidRPr="00D22818">
        <w:rPr>
          <w:rFonts w:ascii="Georgia" w:eastAsia="Times New Roman" w:hAnsi="Georgia" w:cs="Times New Roman"/>
          <w:color w:val="0F0F0F"/>
          <w:sz w:val="23"/>
          <w:szCs w:val="23"/>
          <w:lang w:eastAsia="en-GB"/>
        </w:rPr>
        <w:t>.</w:t>
      </w:r>
    </w:p>
    <w:p w14:paraId="61C3E35B" w14:textId="77777777" w:rsidR="00D22818" w:rsidRPr="00D22818" w:rsidRDefault="00D22818" w:rsidP="00D22818">
      <w:pPr>
        <w:shd w:val="clear" w:color="auto" w:fill="F5E5D5"/>
        <w:spacing w:after="450" w:line="240" w:lineRule="auto"/>
        <w:rPr>
          <w:rFonts w:ascii="Georgia" w:eastAsia="Times New Roman" w:hAnsi="Georgia" w:cs="Times New Roman"/>
          <w:color w:val="0F0F0F"/>
          <w:sz w:val="23"/>
          <w:szCs w:val="23"/>
          <w:lang w:eastAsia="en-GB"/>
        </w:rPr>
      </w:pPr>
      <w:proofErr w:type="spellStart"/>
      <w:r w:rsidRPr="00D22818">
        <w:rPr>
          <w:rFonts w:ascii="Georgia" w:eastAsia="Times New Roman" w:hAnsi="Georgia" w:cs="Times New Roman"/>
          <w:color w:val="0F0F0F"/>
          <w:sz w:val="23"/>
          <w:szCs w:val="23"/>
          <w:lang w:eastAsia="en-GB"/>
        </w:rPr>
        <w:t>L’evidenza</w:t>
      </w:r>
      <w:proofErr w:type="spellEnd"/>
      <w:r w:rsidRPr="00D22818">
        <w:rPr>
          <w:rFonts w:ascii="Georgia" w:eastAsia="Times New Roman" w:hAnsi="Georgia" w:cs="Times New Roman"/>
          <w:color w:val="0F0F0F"/>
          <w:sz w:val="23"/>
          <w:szCs w:val="23"/>
          <w:lang w:eastAsia="en-GB"/>
        </w:rPr>
        <w:t xml:space="preserve"> di un </w:t>
      </w:r>
      <w:proofErr w:type="spellStart"/>
      <w:r w:rsidRPr="00D22818">
        <w:rPr>
          <w:rFonts w:ascii="Georgia" w:eastAsia="Times New Roman" w:hAnsi="Georgia" w:cs="Times New Roman"/>
          <w:color w:val="0F0F0F"/>
          <w:sz w:val="23"/>
          <w:szCs w:val="23"/>
          <w:lang w:eastAsia="en-GB"/>
        </w:rPr>
        <w:t>fenomeno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che</w:t>
      </w:r>
      <w:proofErr w:type="spellEnd"/>
      <w:r w:rsidRPr="00D22818">
        <w:rPr>
          <w:rFonts w:ascii="Georgia" w:eastAsia="Times New Roman" w:hAnsi="Georgia" w:cs="Times New Roman"/>
          <w:color w:val="0F0F0F"/>
          <w:sz w:val="23"/>
          <w:szCs w:val="23"/>
          <w:lang w:eastAsia="en-GB"/>
        </w:rPr>
        <w:t xml:space="preserve"> non </w:t>
      </w:r>
      <w:proofErr w:type="spellStart"/>
      <w:r w:rsidRPr="00D22818">
        <w:rPr>
          <w:rFonts w:ascii="Georgia" w:eastAsia="Times New Roman" w:hAnsi="Georgia" w:cs="Times New Roman"/>
          <w:color w:val="0F0F0F"/>
          <w:sz w:val="23"/>
          <w:szCs w:val="23"/>
          <w:lang w:eastAsia="en-GB"/>
        </w:rPr>
        <w:t>coglie</w:t>
      </w:r>
      <w:proofErr w:type="spellEnd"/>
      <w:r w:rsidRPr="00D22818">
        <w:rPr>
          <w:rFonts w:ascii="Georgia" w:eastAsia="Times New Roman" w:hAnsi="Georgia" w:cs="Times New Roman"/>
          <w:color w:val="0F0F0F"/>
          <w:sz w:val="23"/>
          <w:szCs w:val="23"/>
          <w:lang w:eastAsia="en-GB"/>
        </w:rPr>
        <w:t xml:space="preserve"> di </w:t>
      </w:r>
      <w:proofErr w:type="spellStart"/>
      <w:r w:rsidRPr="00D22818">
        <w:rPr>
          <w:rFonts w:ascii="Georgia" w:eastAsia="Times New Roman" w:hAnsi="Georgia" w:cs="Times New Roman"/>
          <w:color w:val="0F0F0F"/>
          <w:sz w:val="23"/>
          <w:szCs w:val="23"/>
          <w:lang w:eastAsia="en-GB"/>
        </w:rPr>
        <w:t>sorpresa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gli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addetti</w:t>
      </w:r>
      <w:proofErr w:type="spellEnd"/>
      <w:r w:rsidRPr="00D22818">
        <w:rPr>
          <w:rFonts w:ascii="Georgia" w:eastAsia="Times New Roman" w:hAnsi="Georgia" w:cs="Times New Roman"/>
          <w:color w:val="0F0F0F"/>
          <w:sz w:val="23"/>
          <w:szCs w:val="23"/>
          <w:lang w:eastAsia="en-GB"/>
        </w:rPr>
        <w:t xml:space="preserve"> ai </w:t>
      </w:r>
      <w:proofErr w:type="spellStart"/>
      <w:r w:rsidRPr="00D22818">
        <w:rPr>
          <w:rFonts w:ascii="Georgia" w:eastAsia="Times New Roman" w:hAnsi="Georgia" w:cs="Times New Roman"/>
          <w:color w:val="0F0F0F"/>
          <w:sz w:val="23"/>
          <w:szCs w:val="23"/>
          <w:lang w:eastAsia="en-GB"/>
        </w:rPr>
        <w:t>lavori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sta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nei</w:t>
      </w:r>
      <w:proofErr w:type="spellEnd"/>
      <w:r w:rsidRPr="00D22818">
        <w:rPr>
          <w:rFonts w:ascii="Georgia" w:eastAsia="Times New Roman" w:hAnsi="Georgia" w:cs="Times New Roman"/>
          <w:color w:val="0F0F0F"/>
          <w:sz w:val="23"/>
          <w:szCs w:val="23"/>
          <w:lang w:eastAsia="en-GB"/>
        </w:rPr>
        <w:t xml:space="preserve"> numeri di uno studio </w:t>
      </w:r>
      <w:proofErr w:type="spellStart"/>
      <w:r w:rsidRPr="00D22818">
        <w:rPr>
          <w:rFonts w:ascii="Georgia" w:eastAsia="Times New Roman" w:hAnsi="Georgia" w:cs="Times New Roman"/>
          <w:color w:val="0F0F0F"/>
          <w:sz w:val="23"/>
          <w:szCs w:val="23"/>
          <w:lang w:eastAsia="en-GB"/>
        </w:rPr>
        <w:t>che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Assosim</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l’associazione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degli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intermediari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mercati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finanziari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presenta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oggi</w:t>
      </w:r>
      <w:proofErr w:type="spellEnd"/>
      <w:r w:rsidRPr="00D22818">
        <w:rPr>
          <w:rFonts w:ascii="Georgia" w:eastAsia="Times New Roman" w:hAnsi="Georgia" w:cs="Times New Roman"/>
          <w:color w:val="0F0F0F"/>
          <w:sz w:val="23"/>
          <w:szCs w:val="23"/>
          <w:lang w:eastAsia="en-GB"/>
        </w:rPr>
        <w:t xml:space="preserve"> in </w:t>
      </w:r>
      <w:proofErr w:type="spellStart"/>
      <w:r w:rsidRPr="00D22818">
        <w:rPr>
          <w:rFonts w:ascii="Georgia" w:eastAsia="Times New Roman" w:hAnsi="Georgia" w:cs="Times New Roman"/>
          <w:color w:val="0F0F0F"/>
          <w:sz w:val="23"/>
          <w:szCs w:val="23"/>
          <w:lang w:eastAsia="en-GB"/>
        </w:rPr>
        <w:t>occasione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dell’annual</w:t>
      </w:r>
      <w:proofErr w:type="spellEnd"/>
      <w:r w:rsidRPr="00D22818">
        <w:rPr>
          <w:rFonts w:ascii="Georgia" w:eastAsia="Times New Roman" w:hAnsi="Georgia" w:cs="Times New Roman"/>
          <w:color w:val="0F0F0F"/>
          <w:sz w:val="23"/>
          <w:szCs w:val="23"/>
          <w:lang w:eastAsia="en-GB"/>
        </w:rPr>
        <w:t xml:space="preserve"> general meeting </w:t>
      </w:r>
      <w:proofErr w:type="spellStart"/>
      <w:r w:rsidRPr="00D22818">
        <w:rPr>
          <w:rFonts w:ascii="Georgia" w:eastAsia="Times New Roman" w:hAnsi="Georgia" w:cs="Times New Roman"/>
          <w:color w:val="0F0F0F"/>
          <w:sz w:val="23"/>
          <w:szCs w:val="23"/>
          <w:lang w:eastAsia="en-GB"/>
        </w:rPr>
        <w:t>Icsa</w:t>
      </w:r>
      <w:proofErr w:type="spellEnd"/>
      <w:r w:rsidRPr="00D22818">
        <w:rPr>
          <w:rFonts w:ascii="Georgia" w:eastAsia="Times New Roman" w:hAnsi="Georgia" w:cs="Times New Roman"/>
          <w:color w:val="0F0F0F"/>
          <w:sz w:val="23"/>
          <w:szCs w:val="23"/>
          <w:lang w:eastAsia="en-GB"/>
        </w:rPr>
        <w:t xml:space="preserve"> (International Council of Securities Associations, </w:t>
      </w:r>
      <w:proofErr w:type="spellStart"/>
      <w:r w:rsidRPr="00D22818">
        <w:rPr>
          <w:rFonts w:ascii="Georgia" w:eastAsia="Times New Roman" w:hAnsi="Georgia" w:cs="Times New Roman"/>
          <w:color w:val="0F0F0F"/>
          <w:sz w:val="23"/>
          <w:szCs w:val="23"/>
          <w:lang w:eastAsia="en-GB"/>
        </w:rPr>
        <w:t>federazione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che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riunisce</w:t>
      </w:r>
      <w:proofErr w:type="spellEnd"/>
      <w:r w:rsidRPr="00D22818">
        <w:rPr>
          <w:rFonts w:ascii="Georgia" w:eastAsia="Times New Roman" w:hAnsi="Georgia" w:cs="Times New Roman"/>
          <w:color w:val="0F0F0F"/>
          <w:sz w:val="23"/>
          <w:szCs w:val="23"/>
          <w:lang w:eastAsia="en-GB"/>
        </w:rPr>
        <w:t xml:space="preserve"> le </w:t>
      </w:r>
      <w:proofErr w:type="spellStart"/>
      <w:r w:rsidRPr="00D22818">
        <w:rPr>
          <w:rFonts w:ascii="Georgia" w:eastAsia="Times New Roman" w:hAnsi="Georgia" w:cs="Times New Roman"/>
          <w:color w:val="0F0F0F"/>
          <w:sz w:val="23"/>
          <w:szCs w:val="23"/>
          <w:lang w:eastAsia="en-GB"/>
        </w:rPr>
        <w:t>principali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associazioni</w:t>
      </w:r>
      <w:proofErr w:type="spellEnd"/>
      <w:r w:rsidRPr="00D22818">
        <w:rPr>
          <w:rFonts w:ascii="Georgia" w:eastAsia="Times New Roman" w:hAnsi="Georgia" w:cs="Times New Roman"/>
          <w:color w:val="0F0F0F"/>
          <w:sz w:val="23"/>
          <w:szCs w:val="23"/>
          <w:lang w:eastAsia="en-GB"/>
        </w:rPr>
        <w:t xml:space="preserve"> di </w:t>
      </w:r>
      <w:proofErr w:type="spellStart"/>
      <w:r w:rsidRPr="00D22818">
        <w:rPr>
          <w:rFonts w:ascii="Georgia" w:eastAsia="Times New Roman" w:hAnsi="Georgia" w:cs="Times New Roman"/>
          <w:color w:val="0F0F0F"/>
          <w:sz w:val="23"/>
          <w:szCs w:val="23"/>
          <w:lang w:eastAsia="en-GB"/>
        </w:rPr>
        <w:t>categoria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mondiali</w:t>
      </w:r>
      <w:proofErr w:type="spellEnd"/>
      <w:r w:rsidRPr="00D22818">
        <w:rPr>
          <w:rFonts w:ascii="Georgia" w:eastAsia="Times New Roman" w:hAnsi="Georgia" w:cs="Times New Roman"/>
          <w:color w:val="0F0F0F"/>
          <w:sz w:val="23"/>
          <w:szCs w:val="23"/>
          <w:lang w:eastAsia="en-GB"/>
        </w:rPr>
        <w:t xml:space="preserve">). A </w:t>
      </w:r>
      <w:proofErr w:type="spellStart"/>
      <w:r w:rsidRPr="00D22818">
        <w:rPr>
          <w:rFonts w:ascii="Georgia" w:eastAsia="Times New Roman" w:hAnsi="Georgia" w:cs="Times New Roman"/>
          <w:color w:val="0F0F0F"/>
          <w:sz w:val="23"/>
          <w:szCs w:val="23"/>
          <w:lang w:eastAsia="en-GB"/>
        </w:rPr>
        <w:t>fronte</w:t>
      </w:r>
      <w:proofErr w:type="spellEnd"/>
      <w:r w:rsidRPr="00D22818">
        <w:rPr>
          <w:rFonts w:ascii="Georgia" w:eastAsia="Times New Roman" w:hAnsi="Georgia" w:cs="Times New Roman"/>
          <w:color w:val="0F0F0F"/>
          <w:sz w:val="23"/>
          <w:szCs w:val="23"/>
          <w:lang w:eastAsia="en-GB"/>
        </w:rPr>
        <w:t xml:space="preserve"> di un </w:t>
      </w:r>
      <w:proofErr w:type="spellStart"/>
      <w:r w:rsidRPr="00D22818">
        <w:rPr>
          <w:rFonts w:ascii="Georgia" w:eastAsia="Times New Roman" w:hAnsi="Georgia" w:cs="Times New Roman"/>
          <w:color w:val="0F0F0F"/>
          <w:sz w:val="23"/>
          <w:szCs w:val="23"/>
          <w:lang w:eastAsia="en-GB"/>
        </w:rPr>
        <w:t>numero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degli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analisti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che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coprono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titoli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italiani</w:t>
      </w:r>
      <w:proofErr w:type="spellEnd"/>
      <w:r w:rsidRPr="00D22818">
        <w:rPr>
          <w:rFonts w:ascii="Georgia" w:eastAsia="Times New Roman" w:hAnsi="Georgia" w:cs="Times New Roman"/>
          <w:color w:val="0F0F0F"/>
          <w:sz w:val="23"/>
          <w:szCs w:val="23"/>
          <w:lang w:eastAsia="en-GB"/>
        </w:rPr>
        <w:t xml:space="preserve"> in </w:t>
      </w:r>
      <w:proofErr w:type="spellStart"/>
      <w:r w:rsidRPr="00D22818">
        <w:rPr>
          <w:rFonts w:ascii="Georgia" w:eastAsia="Times New Roman" w:hAnsi="Georgia" w:cs="Times New Roman"/>
          <w:color w:val="0F0F0F"/>
          <w:sz w:val="23"/>
          <w:szCs w:val="23"/>
          <w:lang w:eastAsia="en-GB"/>
        </w:rPr>
        <w:t>calo</w:t>
      </w:r>
      <w:proofErr w:type="spellEnd"/>
      <w:r w:rsidRPr="00D22818">
        <w:rPr>
          <w:rFonts w:ascii="Georgia" w:eastAsia="Times New Roman" w:hAnsi="Georgia" w:cs="Times New Roman"/>
          <w:color w:val="0F0F0F"/>
          <w:sz w:val="23"/>
          <w:szCs w:val="23"/>
          <w:lang w:eastAsia="en-GB"/>
        </w:rPr>
        <w:t xml:space="preserve"> dell’8,8% </w:t>
      </w:r>
      <w:proofErr w:type="spellStart"/>
      <w:r w:rsidRPr="00D22818">
        <w:rPr>
          <w:rFonts w:ascii="Georgia" w:eastAsia="Times New Roman" w:hAnsi="Georgia" w:cs="Times New Roman"/>
          <w:color w:val="0F0F0F"/>
          <w:sz w:val="23"/>
          <w:szCs w:val="23"/>
          <w:lang w:eastAsia="en-GB"/>
        </w:rPr>
        <w:t>dalle</w:t>
      </w:r>
      <w:proofErr w:type="spellEnd"/>
      <w:r w:rsidRPr="00D22818">
        <w:rPr>
          <w:rFonts w:ascii="Georgia" w:eastAsia="Times New Roman" w:hAnsi="Georgia" w:cs="Times New Roman"/>
          <w:color w:val="0F0F0F"/>
          <w:sz w:val="23"/>
          <w:szCs w:val="23"/>
          <w:lang w:eastAsia="en-GB"/>
        </w:rPr>
        <w:t xml:space="preserve"> 480 </w:t>
      </w:r>
      <w:proofErr w:type="spellStart"/>
      <w:r w:rsidRPr="00D22818">
        <w:rPr>
          <w:rFonts w:ascii="Georgia" w:eastAsia="Times New Roman" w:hAnsi="Georgia" w:cs="Times New Roman"/>
          <w:color w:val="0F0F0F"/>
          <w:sz w:val="23"/>
          <w:szCs w:val="23"/>
          <w:lang w:eastAsia="en-GB"/>
        </w:rPr>
        <w:t>unità</w:t>
      </w:r>
      <w:proofErr w:type="spellEnd"/>
      <w:r w:rsidRPr="00D22818">
        <w:rPr>
          <w:rFonts w:ascii="Georgia" w:eastAsia="Times New Roman" w:hAnsi="Georgia" w:cs="Times New Roman"/>
          <w:color w:val="0F0F0F"/>
          <w:sz w:val="23"/>
          <w:szCs w:val="23"/>
          <w:lang w:eastAsia="en-GB"/>
        </w:rPr>
        <w:t xml:space="preserve"> del 2017 </w:t>
      </w:r>
      <w:proofErr w:type="spellStart"/>
      <w:r w:rsidRPr="00D22818">
        <w:rPr>
          <w:rFonts w:ascii="Georgia" w:eastAsia="Times New Roman" w:hAnsi="Georgia" w:cs="Times New Roman"/>
          <w:color w:val="0F0F0F"/>
          <w:sz w:val="23"/>
          <w:szCs w:val="23"/>
          <w:lang w:eastAsia="en-GB"/>
        </w:rPr>
        <w:t>alle</w:t>
      </w:r>
      <w:proofErr w:type="spellEnd"/>
      <w:r w:rsidRPr="00D22818">
        <w:rPr>
          <w:rFonts w:ascii="Georgia" w:eastAsia="Times New Roman" w:hAnsi="Georgia" w:cs="Times New Roman"/>
          <w:color w:val="0F0F0F"/>
          <w:sz w:val="23"/>
          <w:szCs w:val="23"/>
          <w:lang w:eastAsia="en-GB"/>
        </w:rPr>
        <w:t xml:space="preserve"> 438 del 2018, </w:t>
      </w:r>
      <w:proofErr w:type="spellStart"/>
      <w:r w:rsidRPr="00D22818">
        <w:rPr>
          <w:rFonts w:ascii="Georgia" w:eastAsia="Times New Roman" w:hAnsi="Georgia" w:cs="Times New Roman"/>
          <w:color w:val="0F0F0F"/>
          <w:sz w:val="23"/>
          <w:szCs w:val="23"/>
          <w:lang w:eastAsia="en-GB"/>
        </w:rPr>
        <w:t>che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porterà</w:t>
      </w:r>
      <w:proofErr w:type="spellEnd"/>
      <w:r w:rsidRPr="00D22818">
        <w:rPr>
          <w:rFonts w:ascii="Georgia" w:eastAsia="Times New Roman" w:hAnsi="Georgia" w:cs="Times New Roman"/>
          <w:color w:val="0F0F0F"/>
          <w:sz w:val="23"/>
          <w:szCs w:val="23"/>
          <w:lang w:eastAsia="en-GB"/>
        </w:rPr>
        <w:t xml:space="preserve"> con </w:t>
      </w:r>
      <w:proofErr w:type="spellStart"/>
      <w:r w:rsidRPr="00D22818">
        <w:rPr>
          <w:rFonts w:ascii="Georgia" w:eastAsia="Times New Roman" w:hAnsi="Georgia" w:cs="Times New Roman"/>
          <w:color w:val="0F0F0F"/>
          <w:sz w:val="23"/>
          <w:szCs w:val="23"/>
          <w:lang w:eastAsia="en-GB"/>
        </w:rPr>
        <w:t>sé</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nel</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lungo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periodo</w:t>
      </w:r>
      <w:proofErr w:type="spellEnd"/>
      <w:r w:rsidRPr="00D22818">
        <w:rPr>
          <w:rFonts w:ascii="Georgia" w:eastAsia="Times New Roman" w:hAnsi="Georgia" w:cs="Times New Roman"/>
          <w:color w:val="0F0F0F"/>
          <w:sz w:val="23"/>
          <w:szCs w:val="23"/>
          <w:lang w:eastAsia="en-GB"/>
        </w:rPr>
        <w:t xml:space="preserve"> una </w:t>
      </w:r>
      <w:proofErr w:type="spellStart"/>
      <w:r w:rsidRPr="00D22818">
        <w:rPr>
          <w:rFonts w:ascii="Georgia" w:eastAsia="Times New Roman" w:hAnsi="Georgia" w:cs="Times New Roman"/>
          <w:color w:val="0F0F0F"/>
          <w:sz w:val="23"/>
          <w:szCs w:val="23"/>
          <w:lang w:eastAsia="en-GB"/>
        </w:rPr>
        <w:t>perdita</w:t>
      </w:r>
      <w:proofErr w:type="spellEnd"/>
      <w:r w:rsidRPr="00D22818">
        <w:rPr>
          <w:rFonts w:ascii="Georgia" w:eastAsia="Times New Roman" w:hAnsi="Georgia" w:cs="Times New Roman"/>
          <w:color w:val="0F0F0F"/>
          <w:sz w:val="23"/>
          <w:szCs w:val="23"/>
          <w:lang w:eastAsia="en-GB"/>
        </w:rPr>
        <w:t xml:space="preserve"> di </w:t>
      </w:r>
      <w:proofErr w:type="spellStart"/>
      <w:r w:rsidRPr="00D22818">
        <w:rPr>
          <w:rFonts w:ascii="Georgia" w:eastAsia="Times New Roman" w:hAnsi="Georgia" w:cs="Times New Roman"/>
          <w:color w:val="0F0F0F"/>
          <w:sz w:val="23"/>
          <w:szCs w:val="23"/>
          <w:lang w:eastAsia="en-GB"/>
        </w:rPr>
        <w:t>professionalità</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essenziali</w:t>
      </w:r>
      <w:proofErr w:type="spellEnd"/>
      <w:r w:rsidRPr="00D22818">
        <w:rPr>
          <w:rFonts w:ascii="Georgia" w:eastAsia="Times New Roman" w:hAnsi="Georgia" w:cs="Times New Roman"/>
          <w:color w:val="0F0F0F"/>
          <w:sz w:val="23"/>
          <w:szCs w:val="23"/>
          <w:lang w:eastAsia="en-GB"/>
        </w:rPr>
        <w:t xml:space="preserve"> per lo </w:t>
      </w:r>
      <w:proofErr w:type="spellStart"/>
      <w:r w:rsidRPr="00D22818">
        <w:rPr>
          <w:rFonts w:ascii="Georgia" w:eastAsia="Times New Roman" w:hAnsi="Georgia" w:cs="Times New Roman"/>
          <w:color w:val="0F0F0F"/>
          <w:sz w:val="23"/>
          <w:szCs w:val="23"/>
          <w:lang w:eastAsia="en-GB"/>
        </w:rPr>
        <w:t>sviluppo</w:t>
      </w:r>
      <w:proofErr w:type="spellEnd"/>
      <w:r w:rsidRPr="00D22818">
        <w:rPr>
          <w:rFonts w:ascii="Georgia" w:eastAsia="Times New Roman" w:hAnsi="Georgia" w:cs="Times New Roman"/>
          <w:color w:val="0F0F0F"/>
          <w:sz w:val="23"/>
          <w:szCs w:val="23"/>
          <w:lang w:eastAsia="en-GB"/>
        </w:rPr>
        <w:t xml:space="preserve"> del </w:t>
      </w:r>
      <w:proofErr w:type="spellStart"/>
      <w:r w:rsidRPr="00D22818">
        <w:rPr>
          <w:rFonts w:ascii="Georgia" w:eastAsia="Times New Roman" w:hAnsi="Georgia" w:cs="Times New Roman"/>
          <w:color w:val="0F0F0F"/>
          <w:sz w:val="23"/>
          <w:szCs w:val="23"/>
          <w:lang w:eastAsia="en-GB"/>
        </w:rPr>
        <w:t>mercato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finanziario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registra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infatti</w:t>
      </w:r>
      <w:proofErr w:type="spellEnd"/>
      <w:r w:rsidRPr="00D22818">
        <w:rPr>
          <w:rFonts w:ascii="Georgia" w:eastAsia="Times New Roman" w:hAnsi="Georgia" w:cs="Times New Roman"/>
          <w:color w:val="0F0F0F"/>
          <w:sz w:val="23"/>
          <w:szCs w:val="23"/>
          <w:lang w:eastAsia="en-GB"/>
        </w:rPr>
        <w:t xml:space="preserve"> una </w:t>
      </w:r>
      <w:proofErr w:type="spellStart"/>
      <w:r w:rsidRPr="00D22818">
        <w:rPr>
          <w:rFonts w:ascii="Georgia" w:eastAsia="Times New Roman" w:hAnsi="Georgia" w:cs="Times New Roman"/>
          <w:color w:val="0F0F0F"/>
          <w:sz w:val="23"/>
          <w:szCs w:val="23"/>
          <w:lang w:eastAsia="en-GB"/>
        </w:rPr>
        <w:t>conseguente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diminuzione</w:t>
      </w:r>
      <w:proofErr w:type="spellEnd"/>
      <w:r w:rsidRPr="00D22818">
        <w:rPr>
          <w:rFonts w:ascii="Georgia" w:eastAsia="Times New Roman" w:hAnsi="Georgia" w:cs="Times New Roman"/>
          <w:color w:val="0F0F0F"/>
          <w:sz w:val="23"/>
          <w:szCs w:val="23"/>
          <w:lang w:eastAsia="en-GB"/>
        </w:rPr>
        <w:t xml:space="preserve"> del volume </w:t>
      </w:r>
      <w:proofErr w:type="spellStart"/>
      <w:r w:rsidRPr="00D22818">
        <w:rPr>
          <w:rFonts w:ascii="Georgia" w:eastAsia="Times New Roman" w:hAnsi="Georgia" w:cs="Times New Roman"/>
          <w:color w:val="0F0F0F"/>
          <w:sz w:val="23"/>
          <w:szCs w:val="23"/>
          <w:lang w:eastAsia="en-GB"/>
        </w:rPr>
        <w:t>delle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ricerche</w:t>
      </w:r>
      <w:proofErr w:type="spellEnd"/>
      <w:r w:rsidRPr="00D22818">
        <w:rPr>
          <w:rFonts w:ascii="Georgia" w:eastAsia="Times New Roman" w:hAnsi="Georgia" w:cs="Times New Roman"/>
          <w:color w:val="0F0F0F"/>
          <w:sz w:val="23"/>
          <w:szCs w:val="23"/>
          <w:lang w:eastAsia="en-GB"/>
        </w:rPr>
        <w:t xml:space="preserve"> di </w:t>
      </w:r>
      <w:proofErr w:type="spellStart"/>
      <w:r w:rsidRPr="00D22818">
        <w:rPr>
          <w:rFonts w:ascii="Georgia" w:eastAsia="Times New Roman" w:hAnsi="Georgia" w:cs="Times New Roman"/>
          <w:color w:val="0F0F0F"/>
          <w:sz w:val="23"/>
          <w:szCs w:val="23"/>
          <w:lang w:eastAsia="en-GB"/>
        </w:rPr>
        <w:t>tipo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fondamentale</w:t>
      </w:r>
      <w:proofErr w:type="spellEnd"/>
      <w:r w:rsidRPr="00D22818">
        <w:rPr>
          <w:rFonts w:ascii="Georgia" w:eastAsia="Times New Roman" w:hAnsi="Georgia" w:cs="Times New Roman"/>
          <w:color w:val="0F0F0F"/>
          <w:sz w:val="23"/>
          <w:szCs w:val="23"/>
          <w:lang w:eastAsia="en-GB"/>
        </w:rPr>
        <w:t>.</w:t>
      </w:r>
    </w:p>
    <w:p w14:paraId="32F61325" w14:textId="77777777" w:rsidR="00D22818" w:rsidRPr="00D22818" w:rsidRDefault="00D22818" w:rsidP="00D22818">
      <w:pPr>
        <w:shd w:val="clear" w:color="auto" w:fill="F5E5D5"/>
        <w:spacing w:after="450" w:line="240" w:lineRule="auto"/>
        <w:rPr>
          <w:rFonts w:ascii="Georgia" w:eastAsia="Times New Roman" w:hAnsi="Georgia" w:cs="Times New Roman"/>
          <w:color w:val="0F0F0F"/>
          <w:sz w:val="23"/>
          <w:szCs w:val="23"/>
          <w:lang w:eastAsia="en-GB"/>
        </w:rPr>
      </w:pPr>
      <w:r w:rsidRPr="00D22818">
        <w:rPr>
          <w:rFonts w:ascii="Georgia" w:eastAsia="Times New Roman" w:hAnsi="Georgia" w:cs="Times New Roman"/>
          <w:color w:val="0F0F0F"/>
          <w:sz w:val="23"/>
          <w:szCs w:val="23"/>
          <w:lang w:eastAsia="en-GB"/>
        </w:rPr>
        <w:t xml:space="preserve">Il </w:t>
      </w:r>
      <w:proofErr w:type="spellStart"/>
      <w:r w:rsidRPr="00D22818">
        <w:rPr>
          <w:rFonts w:ascii="Georgia" w:eastAsia="Times New Roman" w:hAnsi="Georgia" w:cs="Times New Roman"/>
          <w:color w:val="0F0F0F"/>
          <w:sz w:val="23"/>
          <w:szCs w:val="23"/>
          <w:lang w:eastAsia="en-GB"/>
        </w:rPr>
        <w:t>fenomeno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coinvolge</w:t>
      </w:r>
      <w:proofErr w:type="spellEnd"/>
      <w:r w:rsidRPr="00D22818">
        <w:rPr>
          <w:rFonts w:ascii="Georgia" w:eastAsia="Times New Roman" w:hAnsi="Georgia" w:cs="Times New Roman"/>
          <w:color w:val="0F0F0F"/>
          <w:sz w:val="23"/>
          <w:szCs w:val="23"/>
          <w:lang w:eastAsia="en-GB"/>
        </w:rPr>
        <w:t xml:space="preserve"> in </w:t>
      </w:r>
      <w:proofErr w:type="spellStart"/>
      <w:r w:rsidRPr="00D22818">
        <w:rPr>
          <w:rFonts w:ascii="Georgia" w:eastAsia="Times New Roman" w:hAnsi="Georgia" w:cs="Times New Roman"/>
          <w:color w:val="0F0F0F"/>
          <w:sz w:val="23"/>
          <w:szCs w:val="23"/>
          <w:lang w:eastAsia="en-GB"/>
        </w:rPr>
        <w:t>apparenza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soprattutto</w:t>
      </w:r>
      <w:proofErr w:type="spellEnd"/>
      <w:r w:rsidRPr="00D22818">
        <w:rPr>
          <w:rFonts w:ascii="Georgia" w:eastAsia="Times New Roman" w:hAnsi="Georgia" w:cs="Times New Roman"/>
          <w:color w:val="0F0F0F"/>
          <w:sz w:val="23"/>
          <w:szCs w:val="23"/>
          <w:lang w:eastAsia="en-GB"/>
        </w:rPr>
        <w:t xml:space="preserve"> le blue chip, visto </w:t>
      </w:r>
      <w:proofErr w:type="spellStart"/>
      <w:r w:rsidRPr="00D22818">
        <w:rPr>
          <w:rFonts w:ascii="Georgia" w:eastAsia="Times New Roman" w:hAnsi="Georgia" w:cs="Times New Roman"/>
          <w:color w:val="0F0F0F"/>
          <w:sz w:val="23"/>
          <w:szCs w:val="23"/>
          <w:lang w:eastAsia="en-GB"/>
        </w:rPr>
        <w:t>che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il</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calo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della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produzione</w:t>
      </w:r>
      <w:proofErr w:type="spellEnd"/>
      <w:r w:rsidRPr="00D22818">
        <w:rPr>
          <w:rFonts w:ascii="Georgia" w:eastAsia="Times New Roman" w:hAnsi="Georgia" w:cs="Times New Roman"/>
          <w:color w:val="0F0F0F"/>
          <w:sz w:val="23"/>
          <w:szCs w:val="23"/>
          <w:lang w:eastAsia="en-GB"/>
        </w:rPr>
        <w:t xml:space="preserve"> di report </w:t>
      </w:r>
      <w:proofErr w:type="spellStart"/>
      <w:r w:rsidRPr="00D22818">
        <w:rPr>
          <w:rFonts w:ascii="Georgia" w:eastAsia="Times New Roman" w:hAnsi="Georgia" w:cs="Times New Roman"/>
          <w:color w:val="0F0F0F"/>
          <w:sz w:val="23"/>
          <w:szCs w:val="23"/>
          <w:lang w:eastAsia="en-GB"/>
        </w:rPr>
        <w:t>nell’ultimo</w:t>
      </w:r>
      <w:proofErr w:type="spellEnd"/>
      <w:r w:rsidRPr="00D22818">
        <w:rPr>
          <w:rFonts w:ascii="Georgia" w:eastAsia="Times New Roman" w:hAnsi="Georgia" w:cs="Times New Roman"/>
          <w:color w:val="0F0F0F"/>
          <w:sz w:val="23"/>
          <w:szCs w:val="23"/>
          <w:lang w:eastAsia="en-GB"/>
        </w:rPr>
        <w:t xml:space="preserve"> anno è </w:t>
      </w:r>
      <w:proofErr w:type="spellStart"/>
      <w:r w:rsidRPr="00D22818">
        <w:rPr>
          <w:rFonts w:ascii="Georgia" w:eastAsia="Times New Roman" w:hAnsi="Georgia" w:cs="Times New Roman"/>
          <w:color w:val="0F0F0F"/>
          <w:sz w:val="23"/>
          <w:szCs w:val="23"/>
          <w:lang w:eastAsia="en-GB"/>
        </w:rPr>
        <w:t>stato</w:t>
      </w:r>
      <w:proofErr w:type="spellEnd"/>
      <w:r w:rsidRPr="00D22818">
        <w:rPr>
          <w:rFonts w:ascii="Georgia" w:eastAsia="Times New Roman" w:hAnsi="Georgia" w:cs="Times New Roman"/>
          <w:color w:val="0F0F0F"/>
          <w:sz w:val="23"/>
          <w:szCs w:val="23"/>
          <w:lang w:eastAsia="en-GB"/>
        </w:rPr>
        <w:t xml:space="preserve"> in </w:t>
      </w:r>
      <w:proofErr w:type="spellStart"/>
      <w:r w:rsidRPr="00D22818">
        <w:rPr>
          <w:rFonts w:ascii="Georgia" w:eastAsia="Times New Roman" w:hAnsi="Georgia" w:cs="Times New Roman"/>
          <w:color w:val="0F0F0F"/>
          <w:sz w:val="23"/>
          <w:szCs w:val="23"/>
          <w:lang w:eastAsia="en-GB"/>
        </w:rPr>
        <w:t>questo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caso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pari</w:t>
      </w:r>
      <w:proofErr w:type="spellEnd"/>
      <w:r w:rsidRPr="00D22818">
        <w:rPr>
          <w:rFonts w:ascii="Georgia" w:eastAsia="Times New Roman" w:hAnsi="Georgia" w:cs="Times New Roman"/>
          <w:color w:val="0F0F0F"/>
          <w:sz w:val="23"/>
          <w:szCs w:val="23"/>
          <w:lang w:eastAsia="en-GB"/>
        </w:rPr>
        <w:t xml:space="preserve"> all’11,45% se </w:t>
      </w:r>
      <w:proofErr w:type="spellStart"/>
      <w:r w:rsidRPr="00D22818">
        <w:rPr>
          <w:rFonts w:ascii="Georgia" w:eastAsia="Times New Roman" w:hAnsi="Georgia" w:cs="Times New Roman"/>
          <w:color w:val="0F0F0F"/>
          <w:sz w:val="23"/>
          <w:szCs w:val="23"/>
          <w:lang w:eastAsia="en-GB"/>
        </w:rPr>
        <w:t>si</w:t>
      </w:r>
      <w:proofErr w:type="spellEnd"/>
      <w:r w:rsidRPr="00D22818">
        <w:rPr>
          <w:rFonts w:ascii="Georgia" w:eastAsia="Times New Roman" w:hAnsi="Georgia" w:cs="Times New Roman"/>
          <w:color w:val="0F0F0F"/>
          <w:sz w:val="23"/>
          <w:szCs w:val="23"/>
          <w:lang w:eastAsia="en-GB"/>
        </w:rPr>
        <w:t xml:space="preserve"> fa </w:t>
      </w:r>
      <w:proofErr w:type="spellStart"/>
      <w:r w:rsidRPr="00D22818">
        <w:rPr>
          <w:rFonts w:ascii="Georgia" w:eastAsia="Times New Roman" w:hAnsi="Georgia" w:cs="Times New Roman"/>
          <w:color w:val="0F0F0F"/>
          <w:sz w:val="23"/>
          <w:szCs w:val="23"/>
          <w:lang w:eastAsia="en-GB"/>
        </w:rPr>
        <w:t>riferimento</w:t>
      </w:r>
      <w:proofErr w:type="spellEnd"/>
      <w:r w:rsidRPr="00D22818">
        <w:rPr>
          <w:rFonts w:ascii="Georgia" w:eastAsia="Times New Roman" w:hAnsi="Georgia" w:cs="Times New Roman"/>
          <w:color w:val="0F0F0F"/>
          <w:sz w:val="23"/>
          <w:szCs w:val="23"/>
          <w:lang w:eastAsia="en-GB"/>
        </w:rPr>
        <w:t xml:space="preserve"> ai broker </w:t>
      </w:r>
      <w:proofErr w:type="spellStart"/>
      <w:r w:rsidRPr="00D22818">
        <w:rPr>
          <w:rFonts w:ascii="Georgia" w:eastAsia="Times New Roman" w:hAnsi="Georgia" w:cs="Times New Roman"/>
          <w:color w:val="0F0F0F"/>
          <w:sz w:val="23"/>
          <w:szCs w:val="23"/>
          <w:lang w:eastAsia="en-GB"/>
        </w:rPr>
        <w:t>nazionali</w:t>
      </w:r>
      <w:proofErr w:type="spellEnd"/>
      <w:r w:rsidRPr="00D22818">
        <w:rPr>
          <w:rFonts w:ascii="Georgia" w:eastAsia="Times New Roman" w:hAnsi="Georgia" w:cs="Times New Roman"/>
          <w:color w:val="0F0F0F"/>
          <w:sz w:val="23"/>
          <w:szCs w:val="23"/>
          <w:lang w:eastAsia="en-GB"/>
        </w:rPr>
        <w:t xml:space="preserve"> e al 6,52% </w:t>
      </w:r>
      <w:proofErr w:type="spellStart"/>
      <w:r w:rsidRPr="00D22818">
        <w:rPr>
          <w:rFonts w:ascii="Georgia" w:eastAsia="Times New Roman" w:hAnsi="Georgia" w:cs="Times New Roman"/>
          <w:color w:val="0F0F0F"/>
          <w:sz w:val="23"/>
          <w:szCs w:val="23"/>
          <w:lang w:eastAsia="en-GB"/>
        </w:rPr>
        <w:t>quando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considerano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gli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esteri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contro</w:t>
      </w:r>
      <w:proofErr w:type="spellEnd"/>
      <w:r w:rsidRPr="00D22818">
        <w:rPr>
          <w:rFonts w:ascii="Georgia" w:eastAsia="Times New Roman" w:hAnsi="Georgia" w:cs="Times New Roman"/>
          <w:color w:val="0F0F0F"/>
          <w:sz w:val="23"/>
          <w:szCs w:val="23"/>
          <w:lang w:eastAsia="en-GB"/>
        </w:rPr>
        <w:t xml:space="preserve"> una </w:t>
      </w:r>
      <w:proofErr w:type="spellStart"/>
      <w:r w:rsidRPr="00D22818">
        <w:rPr>
          <w:rFonts w:ascii="Georgia" w:eastAsia="Times New Roman" w:hAnsi="Georgia" w:cs="Times New Roman"/>
          <w:color w:val="0F0F0F"/>
          <w:sz w:val="23"/>
          <w:szCs w:val="23"/>
          <w:lang w:eastAsia="en-GB"/>
        </w:rPr>
        <w:t>riduzione</w:t>
      </w:r>
      <w:proofErr w:type="spellEnd"/>
      <w:r w:rsidRPr="00D22818">
        <w:rPr>
          <w:rFonts w:ascii="Georgia" w:eastAsia="Times New Roman" w:hAnsi="Georgia" w:cs="Times New Roman"/>
          <w:color w:val="0F0F0F"/>
          <w:sz w:val="23"/>
          <w:szCs w:val="23"/>
          <w:lang w:eastAsia="en-GB"/>
        </w:rPr>
        <w:t xml:space="preserve"> media </w:t>
      </w:r>
      <w:proofErr w:type="spellStart"/>
      <w:r w:rsidRPr="00D22818">
        <w:rPr>
          <w:rFonts w:ascii="Georgia" w:eastAsia="Times New Roman" w:hAnsi="Georgia" w:cs="Times New Roman"/>
          <w:color w:val="0F0F0F"/>
          <w:sz w:val="23"/>
          <w:szCs w:val="23"/>
          <w:lang w:eastAsia="en-GB"/>
        </w:rPr>
        <w:t>che</w:t>
      </w:r>
      <w:proofErr w:type="spellEnd"/>
      <w:r w:rsidRPr="00D22818">
        <w:rPr>
          <w:rFonts w:ascii="Georgia" w:eastAsia="Times New Roman" w:hAnsi="Georgia" w:cs="Times New Roman"/>
          <w:color w:val="0F0F0F"/>
          <w:sz w:val="23"/>
          <w:szCs w:val="23"/>
          <w:lang w:eastAsia="en-GB"/>
        </w:rPr>
        <w:t xml:space="preserve"> per </w:t>
      </w:r>
      <w:proofErr w:type="spellStart"/>
      <w:r w:rsidRPr="00D22818">
        <w:rPr>
          <w:rFonts w:ascii="Georgia" w:eastAsia="Times New Roman" w:hAnsi="Georgia" w:cs="Times New Roman"/>
          <w:color w:val="0F0F0F"/>
          <w:sz w:val="23"/>
          <w:szCs w:val="23"/>
          <w:lang w:eastAsia="en-GB"/>
        </w:rPr>
        <w:t>l’intero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listino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si</w:t>
      </w:r>
      <w:proofErr w:type="spellEnd"/>
      <w:r w:rsidRPr="00D22818">
        <w:rPr>
          <w:rFonts w:ascii="Georgia" w:eastAsia="Times New Roman" w:hAnsi="Georgia" w:cs="Times New Roman"/>
          <w:color w:val="0F0F0F"/>
          <w:sz w:val="23"/>
          <w:szCs w:val="23"/>
          <w:lang w:eastAsia="en-GB"/>
        </w:rPr>
        <w:t xml:space="preserve"> è fermata al 4,69%. </w:t>
      </w:r>
      <w:proofErr w:type="spellStart"/>
      <w:r w:rsidRPr="00D22818">
        <w:rPr>
          <w:rFonts w:ascii="Georgia" w:eastAsia="Times New Roman" w:hAnsi="Georgia" w:cs="Times New Roman"/>
          <w:color w:val="0F0F0F"/>
          <w:sz w:val="23"/>
          <w:szCs w:val="23"/>
          <w:lang w:eastAsia="en-GB"/>
        </w:rPr>
        <w:t>Diventa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però</w:t>
      </w:r>
      <w:proofErr w:type="spellEnd"/>
      <w:r w:rsidRPr="00D22818">
        <w:rPr>
          <w:rFonts w:ascii="Georgia" w:eastAsia="Times New Roman" w:hAnsi="Georgia" w:cs="Times New Roman"/>
          <w:color w:val="0F0F0F"/>
          <w:sz w:val="23"/>
          <w:szCs w:val="23"/>
          <w:lang w:eastAsia="en-GB"/>
        </w:rPr>
        <w:t xml:space="preserve"> in </w:t>
      </w:r>
      <w:proofErr w:type="spellStart"/>
      <w:r w:rsidRPr="00D22818">
        <w:rPr>
          <w:rFonts w:ascii="Georgia" w:eastAsia="Times New Roman" w:hAnsi="Georgia" w:cs="Times New Roman"/>
          <w:color w:val="0F0F0F"/>
          <w:sz w:val="23"/>
          <w:szCs w:val="23"/>
          <w:lang w:eastAsia="en-GB"/>
        </w:rPr>
        <w:t>realtà</w:t>
      </w:r>
      <w:proofErr w:type="spellEnd"/>
      <w:r w:rsidRPr="00D22818">
        <w:rPr>
          <w:rFonts w:ascii="Georgia" w:eastAsia="Times New Roman" w:hAnsi="Georgia" w:cs="Times New Roman"/>
          <w:color w:val="0F0F0F"/>
          <w:sz w:val="23"/>
          <w:szCs w:val="23"/>
          <w:lang w:eastAsia="en-GB"/>
        </w:rPr>
        <w:t xml:space="preserve"> ben </w:t>
      </w:r>
      <w:proofErr w:type="spellStart"/>
      <w:r w:rsidRPr="00D22818">
        <w:rPr>
          <w:rFonts w:ascii="Georgia" w:eastAsia="Times New Roman" w:hAnsi="Georgia" w:cs="Times New Roman"/>
          <w:color w:val="0F0F0F"/>
          <w:sz w:val="23"/>
          <w:szCs w:val="23"/>
          <w:lang w:eastAsia="en-GB"/>
        </w:rPr>
        <w:t>più</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rilevante</w:t>
      </w:r>
      <w:proofErr w:type="spellEnd"/>
      <w:r w:rsidRPr="00D22818">
        <w:rPr>
          <w:rFonts w:ascii="Georgia" w:eastAsia="Times New Roman" w:hAnsi="Georgia" w:cs="Times New Roman"/>
          <w:color w:val="0F0F0F"/>
          <w:sz w:val="23"/>
          <w:szCs w:val="23"/>
          <w:lang w:eastAsia="en-GB"/>
        </w:rPr>
        <w:t xml:space="preserve"> (e </w:t>
      </w:r>
      <w:proofErr w:type="spellStart"/>
      <w:r w:rsidRPr="00D22818">
        <w:rPr>
          <w:rFonts w:ascii="Georgia" w:eastAsia="Times New Roman" w:hAnsi="Georgia" w:cs="Times New Roman"/>
          <w:color w:val="0F0F0F"/>
          <w:sz w:val="23"/>
          <w:szCs w:val="23"/>
          <w:lang w:eastAsia="en-GB"/>
        </w:rPr>
        <w:t>pericoloso</w:t>
      </w:r>
      <w:proofErr w:type="spellEnd"/>
      <w:r w:rsidRPr="00D22818">
        <w:rPr>
          <w:rFonts w:ascii="Georgia" w:eastAsia="Times New Roman" w:hAnsi="Georgia" w:cs="Times New Roman"/>
          <w:color w:val="0F0F0F"/>
          <w:sz w:val="23"/>
          <w:szCs w:val="23"/>
          <w:lang w:eastAsia="en-GB"/>
        </w:rPr>
        <w:t xml:space="preserve">) per le small e mid cap, </w:t>
      </w:r>
      <w:proofErr w:type="spellStart"/>
      <w:r w:rsidRPr="00D22818">
        <w:rPr>
          <w:rFonts w:ascii="Georgia" w:eastAsia="Times New Roman" w:hAnsi="Georgia" w:cs="Times New Roman"/>
          <w:color w:val="0F0F0F"/>
          <w:sz w:val="23"/>
          <w:szCs w:val="23"/>
          <w:lang w:eastAsia="en-GB"/>
        </w:rPr>
        <w:t>nei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confronti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delle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quali</w:t>
      </w:r>
      <w:proofErr w:type="spellEnd"/>
      <w:r w:rsidRPr="00D22818">
        <w:rPr>
          <w:rFonts w:ascii="Georgia" w:eastAsia="Times New Roman" w:hAnsi="Georgia" w:cs="Times New Roman"/>
          <w:color w:val="0F0F0F"/>
          <w:sz w:val="23"/>
          <w:szCs w:val="23"/>
          <w:lang w:eastAsia="en-GB"/>
        </w:rPr>
        <w:t xml:space="preserve"> la </w:t>
      </w:r>
      <w:proofErr w:type="spellStart"/>
      <w:r w:rsidRPr="00D22818">
        <w:rPr>
          <w:rFonts w:ascii="Georgia" w:eastAsia="Times New Roman" w:hAnsi="Georgia" w:cs="Times New Roman"/>
          <w:color w:val="0F0F0F"/>
          <w:sz w:val="23"/>
          <w:szCs w:val="23"/>
          <w:lang w:eastAsia="en-GB"/>
        </w:rPr>
        <w:t>ricerca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resta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infatti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residuale</w:t>
      </w:r>
      <w:proofErr w:type="spellEnd"/>
      <w:r w:rsidRPr="00D22818">
        <w:rPr>
          <w:rFonts w:ascii="Georgia" w:eastAsia="Times New Roman" w:hAnsi="Georgia" w:cs="Times New Roman"/>
          <w:color w:val="0F0F0F"/>
          <w:sz w:val="23"/>
          <w:szCs w:val="23"/>
          <w:lang w:eastAsia="en-GB"/>
        </w:rPr>
        <w:t xml:space="preserve"> e, </w:t>
      </w:r>
      <w:proofErr w:type="spellStart"/>
      <w:r w:rsidRPr="00D22818">
        <w:rPr>
          <w:rFonts w:ascii="Georgia" w:eastAsia="Times New Roman" w:hAnsi="Georgia" w:cs="Times New Roman"/>
          <w:color w:val="0F0F0F"/>
          <w:sz w:val="23"/>
          <w:szCs w:val="23"/>
          <w:lang w:eastAsia="en-GB"/>
        </w:rPr>
        <w:t>tranne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l’eccezione</w:t>
      </w:r>
      <w:proofErr w:type="spellEnd"/>
      <w:r w:rsidRPr="00D22818">
        <w:rPr>
          <w:rFonts w:ascii="Georgia" w:eastAsia="Times New Roman" w:hAnsi="Georgia" w:cs="Times New Roman"/>
          <w:color w:val="0F0F0F"/>
          <w:sz w:val="23"/>
          <w:szCs w:val="23"/>
          <w:lang w:eastAsia="en-GB"/>
        </w:rPr>
        <w:t xml:space="preserve"> del </w:t>
      </w:r>
      <w:proofErr w:type="spellStart"/>
      <w:r w:rsidRPr="00D22818">
        <w:rPr>
          <w:rFonts w:ascii="Georgia" w:eastAsia="Times New Roman" w:hAnsi="Georgia" w:cs="Times New Roman"/>
          <w:color w:val="0F0F0F"/>
          <w:sz w:val="23"/>
          <w:szCs w:val="23"/>
          <w:lang w:eastAsia="en-GB"/>
        </w:rPr>
        <w:t>segmento</w:t>
      </w:r>
      <w:proofErr w:type="spellEnd"/>
      <w:r w:rsidRPr="00D22818">
        <w:rPr>
          <w:rFonts w:ascii="Georgia" w:eastAsia="Times New Roman" w:hAnsi="Georgia" w:cs="Times New Roman"/>
          <w:color w:val="0F0F0F"/>
          <w:sz w:val="23"/>
          <w:szCs w:val="23"/>
          <w:lang w:eastAsia="en-GB"/>
        </w:rPr>
        <w:t xml:space="preserve"> Star, quasi </w:t>
      </w:r>
      <w:proofErr w:type="spellStart"/>
      <w:r w:rsidRPr="00D22818">
        <w:rPr>
          <w:rFonts w:ascii="Georgia" w:eastAsia="Times New Roman" w:hAnsi="Georgia" w:cs="Times New Roman"/>
          <w:color w:val="0F0F0F"/>
          <w:sz w:val="23"/>
          <w:szCs w:val="23"/>
          <w:lang w:eastAsia="en-GB"/>
        </w:rPr>
        <w:t>esclusivamente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appannaggio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degli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attori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italiani</w:t>
      </w:r>
      <w:proofErr w:type="spellEnd"/>
      <w:r w:rsidRPr="00D22818">
        <w:rPr>
          <w:rFonts w:ascii="Georgia" w:eastAsia="Times New Roman" w:hAnsi="Georgia" w:cs="Times New Roman"/>
          <w:color w:val="0F0F0F"/>
          <w:sz w:val="23"/>
          <w:szCs w:val="23"/>
          <w:lang w:eastAsia="en-GB"/>
        </w:rPr>
        <w:t>.</w:t>
      </w:r>
    </w:p>
    <w:p w14:paraId="25493A4D" w14:textId="77777777" w:rsidR="00D22818" w:rsidRPr="00D22818" w:rsidRDefault="00D22818" w:rsidP="00D22818">
      <w:pPr>
        <w:shd w:val="clear" w:color="auto" w:fill="F5E5D5"/>
        <w:spacing w:after="450" w:line="240" w:lineRule="auto"/>
        <w:rPr>
          <w:rFonts w:ascii="Georgia" w:eastAsia="Times New Roman" w:hAnsi="Georgia" w:cs="Times New Roman"/>
          <w:color w:val="0F0F0F"/>
          <w:sz w:val="23"/>
          <w:szCs w:val="23"/>
          <w:lang w:eastAsia="en-GB"/>
        </w:rPr>
      </w:pPr>
      <w:r w:rsidRPr="00D22818">
        <w:rPr>
          <w:rFonts w:ascii="Georgia" w:eastAsia="Times New Roman" w:hAnsi="Georgia" w:cs="Times New Roman"/>
          <w:color w:val="0F0F0F"/>
          <w:sz w:val="23"/>
          <w:szCs w:val="23"/>
          <w:lang w:eastAsia="en-GB"/>
        </w:rPr>
        <w:t xml:space="preserve">Lo studio </w:t>
      </w:r>
      <w:proofErr w:type="spellStart"/>
      <w:r w:rsidRPr="00D22818">
        <w:rPr>
          <w:rFonts w:ascii="Georgia" w:eastAsia="Times New Roman" w:hAnsi="Georgia" w:cs="Times New Roman"/>
          <w:color w:val="0F0F0F"/>
          <w:sz w:val="23"/>
          <w:szCs w:val="23"/>
          <w:lang w:eastAsia="en-GB"/>
        </w:rPr>
        <w:t>Assosim</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mostra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infatti</w:t>
      </w:r>
      <w:proofErr w:type="spellEnd"/>
      <w:r w:rsidRPr="00D22818">
        <w:rPr>
          <w:rFonts w:ascii="Georgia" w:eastAsia="Times New Roman" w:hAnsi="Georgia" w:cs="Times New Roman"/>
          <w:color w:val="0F0F0F"/>
          <w:sz w:val="23"/>
          <w:szCs w:val="23"/>
          <w:lang w:eastAsia="en-GB"/>
        </w:rPr>
        <w:t xml:space="preserve"> come </w:t>
      </w:r>
      <w:proofErr w:type="spellStart"/>
      <w:r w:rsidRPr="00D22818">
        <w:rPr>
          <w:rFonts w:ascii="Georgia" w:eastAsia="Times New Roman" w:hAnsi="Georgia" w:cs="Times New Roman"/>
          <w:color w:val="0F0F0F"/>
          <w:sz w:val="23"/>
          <w:szCs w:val="23"/>
          <w:lang w:eastAsia="en-GB"/>
        </w:rPr>
        <w:t>il</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numero</w:t>
      </w:r>
      <w:proofErr w:type="spellEnd"/>
      <w:r w:rsidRPr="00D22818">
        <w:rPr>
          <w:rFonts w:ascii="Georgia" w:eastAsia="Times New Roman" w:hAnsi="Georgia" w:cs="Times New Roman"/>
          <w:color w:val="0F0F0F"/>
          <w:sz w:val="23"/>
          <w:szCs w:val="23"/>
          <w:lang w:eastAsia="en-GB"/>
        </w:rPr>
        <w:t xml:space="preserve"> di </w:t>
      </w:r>
      <w:proofErr w:type="spellStart"/>
      <w:r w:rsidRPr="00D22818">
        <w:rPr>
          <w:rFonts w:ascii="Georgia" w:eastAsia="Times New Roman" w:hAnsi="Georgia" w:cs="Times New Roman"/>
          <w:color w:val="0F0F0F"/>
          <w:sz w:val="23"/>
          <w:szCs w:val="23"/>
          <w:lang w:eastAsia="en-GB"/>
        </w:rPr>
        <w:t>studi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dedicati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alle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piccole</w:t>
      </w:r>
      <w:proofErr w:type="spellEnd"/>
      <w:r w:rsidRPr="00D22818">
        <w:rPr>
          <w:rFonts w:ascii="Georgia" w:eastAsia="Times New Roman" w:hAnsi="Georgia" w:cs="Times New Roman"/>
          <w:color w:val="0F0F0F"/>
          <w:sz w:val="23"/>
          <w:szCs w:val="23"/>
          <w:lang w:eastAsia="en-GB"/>
        </w:rPr>
        <w:t xml:space="preserve">» di Piazza </w:t>
      </w:r>
      <w:proofErr w:type="spellStart"/>
      <w:r w:rsidRPr="00D22818">
        <w:rPr>
          <w:rFonts w:ascii="Georgia" w:eastAsia="Times New Roman" w:hAnsi="Georgia" w:cs="Times New Roman"/>
          <w:color w:val="0F0F0F"/>
          <w:sz w:val="23"/>
          <w:szCs w:val="23"/>
          <w:lang w:eastAsia="en-GB"/>
        </w:rPr>
        <w:t>Affari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continui</w:t>
      </w:r>
      <w:proofErr w:type="spellEnd"/>
      <w:r w:rsidRPr="00D22818">
        <w:rPr>
          <w:rFonts w:ascii="Georgia" w:eastAsia="Times New Roman" w:hAnsi="Georgia" w:cs="Times New Roman"/>
          <w:color w:val="0F0F0F"/>
          <w:sz w:val="23"/>
          <w:szCs w:val="23"/>
          <w:lang w:eastAsia="en-GB"/>
        </w:rPr>
        <w:t xml:space="preserve"> a </w:t>
      </w:r>
      <w:proofErr w:type="spellStart"/>
      <w:r w:rsidRPr="00D22818">
        <w:rPr>
          <w:rFonts w:ascii="Georgia" w:eastAsia="Times New Roman" w:hAnsi="Georgia" w:cs="Times New Roman"/>
          <w:color w:val="0F0F0F"/>
          <w:sz w:val="23"/>
          <w:szCs w:val="23"/>
          <w:lang w:eastAsia="en-GB"/>
        </w:rPr>
        <w:t>essere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inferiore</w:t>
      </w:r>
      <w:proofErr w:type="spellEnd"/>
      <w:r w:rsidRPr="00D22818">
        <w:rPr>
          <w:rFonts w:ascii="Georgia" w:eastAsia="Times New Roman" w:hAnsi="Georgia" w:cs="Times New Roman"/>
          <w:color w:val="0F0F0F"/>
          <w:sz w:val="23"/>
          <w:szCs w:val="23"/>
          <w:lang w:eastAsia="en-GB"/>
        </w:rPr>
        <w:t xml:space="preserve"> al 10% rispetto al </w:t>
      </w:r>
      <w:proofErr w:type="spellStart"/>
      <w:r w:rsidRPr="00D22818">
        <w:rPr>
          <w:rFonts w:ascii="Georgia" w:eastAsia="Times New Roman" w:hAnsi="Georgia" w:cs="Times New Roman"/>
          <w:color w:val="0F0F0F"/>
          <w:sz w:val="23"/>
          <w:szCs w:val="23"/>
          <w:lang w:eastAsia="en-GB"/>
        </w:rPr>
        <w:t>totale</w:t>
      </w:r>
      <w:proofErr w:type="spellEnd"/>
      <w:r w:rsidRPr="00D22818">
        <w:rPr>
          <w:rFonts w:ascii="Georgia" w:eastAsia="Times New Roman" w:hAnsi="Georgia" w:cs="Times New Roman"/>
          <w:color w:val="0F0F0F"/>
          <w:sz w:val="23"/>
          <w:szCs w:val="23"/>
          <w:lang w:eastAsia="en-GB"/>
        </w:rPr>
        <w:t xml:space="preserve"> e la </w:t>
      </w:r>
      <w:proofErr w:type="spellStart"/>
      <w:r w:rsidRPr="00D22818">
        <w:rPr>
          <w:rFonts w:ascii="Georgia" w:eastAsia="Times New Roman" w:hAnsi="Georgia" w:cs="Times New Roman"/>
          <w:color w:val="0F0F0F"/>
          <w:sz w:val="23"/>
          <w:szCs w:val="23"/>
          <w:lang w:eastAsia="en-GB"/>
        </w:rPr>
        <w:t>vicenda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diventa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sempre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più</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evidente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quando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considera</w:t>
      </w:r>
      <w:proofErr w:type="spellEnd"/>
      <w:r w:rsidRPr="00D22818">
        <w:rPr>
          <w:rFonts w:ascii="Georgia" w:eastAsia="Times New Roman" w:hAnsi="Georgia" w:cs="Times New Roman"/>
          <w:color w:val="0F0F0F"/>
          <w:sz w:val="23"/>
          <w:szCs w:val="23"/>
          <w:lang w:eastAsia="en-GB"/>
        </w:rPr>
        <w:t xml:space="preserve"> Aim Italia, </w:t>
      </w:r>
      <w:proofErr w:type="spellStart"/>
      <w:r w:rsidRPr="00D22818">
        <w:rPr>
          <w:rFonts w:ascii="Georgia" w:eastAsia="Times New Roman" w:hAnsi="Georgia" w:cs="Times New Roman"/>
          <w:color w:val="0F0F0F"/>
          <w:sz w:val="23"/>
          <w:szCs w:val="23"/>
          <w:lang w:eastAsia="en-GB"/>
        </w:rPr>
        <w:t>segmento</w:t>
      </w:r>
      <w:proofErr w:type="spellEnd"/>
      <w:r w:rsidRPr="00D22818">
        <w:rPr>
          <w:rFonts w:ascii="Georgia" w:eastAsia="Times New Roman" w:hAnsi="Georgia" w:cs="Times New Roman"/>
          <w:color w:val="0F0F0F"/>
          <w:sz w:val="23"/>
          <w:szCs w:val="23"/>
          <w:lang w:eastAsia="en-GB"/>
        </w:rPr>
        <w:t xml:space="preserve"> in cui </w:t>
      </w:r>
      <w:proofErr w:type="spellStart"/>
      <w:r w:rsidRPr="00D22818">
        <w:rPr>
          <w:rFonts w:ascii="Georgia" w:eastAsia="Times New Roman" w:hAnsi="Georgia" w:cs="Times New Roman"/>
          <w:color w:val="0F0F0F"/>
          <w:sz w:val="23"/>
          <w:szCs w:val="23"/>
          <w:lang w:eastAsia="en-GB"/>
        </w:rPr>
        <w:t>il</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numero</w:t>
      </w:r>
      <w:proofErr w:type="spellEnd"/>
      <w:r w:rsidRPr="00D22818">
        <w:rPr>
          <w:rFonts w:ascii="Georgia" w:eastAsia="Times New Roman" w:hAnsi="Georgia" w:cs="Times New Roman"/>
          <w:color w:val="0F0F0F"/>
          <w:sz w:val="23"/>
          <w:szCs w:val="23"/>
          <w:lang w:eastAsia="en-GB"/>
        </w:rPr>
        <w:t xml:space="preserve"> di report, </w:t>
      </w:r>
      <w:proofErr w:type="spellStart"/>
      <w:r w:rsidRPr="00D22818">
        <w:rPr>
          <w:rFonts w:ascii="Georgia" w:eastAsia="Times New Roman" w:hAnsi="Georgia" w:cs="Times New Roman"/>
          <w:color w:val="0F0F0F"/>
          <w:sz w:val="23"/>
          <w:szCs w:val="23"/>
          <w:lang w:eastAsia="en-GB"/>
        </w:rPr>
        <w:t>pur</w:t>
      </w:r>
      <w:proofErr w:type="spellEnd"/>
      <w:r w:rsidRPr="00D22818">
        <w:rPr>
          <w:rFonts w:ascii="Georgia" w:eastAsia="Times New Roman" w:hAnsi="Georgia" w:cs="Times New Roman"/>
          <w:color w:val="0F0F0F"/>
          <w:sz w:val="23"/>
          <w:szCs w:val="23"/>
          <w:lang w:eastAsia="en-GB"/>
        </w:rPr>
        <w:t xml:space="preserve"> in </w:t>
      </w:r>
      <w:proofErr w:type="spellStart"/>
      <w:r w:rsidRPr="00D22818">
        <w:rPr>
          <w:rFonts w:ascii="Georgia" w:eastAsia="Times New Roman" w:hAnsi="Georgia" w:cs="Times New Roman"/>
          <w:color w:val="0F0F0F"/>
          <w:sz w:val="23"/>
          <w:szCs w:val="23"/>
          <w:lang w:eastAsia="en-GB"/>
        </w:rPr>
        <w:t>marginale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crescita</w:t>
      </w:r>
      <w:proofErr w:type="spellEnd"/>
      <w:r w:rsidRPr="00D22818">
        <w:rPr>
          <w:rFonts w:ascii="Georgia" w:eastAsia="Times New Roman" w:hAnsi="Georgia" w:cs="Times New Roman"/>
          <w:color w:val="0F0F0F"/>
          <w:sz w:val="23"/>
          <w:szCs w:val="23"/>
          <w:lang w:eastAsia="en-GB"/>
        </w:rPr>
        <w:t xml:space="preserve">, a </w:t>
      </w:r>
      <w:proofErr w:type="spellStart"/>
      <w:r w:rsidRPr="00D22818">
        <w:rPr>
          <w:rFonts w:ascii="Georgia" w:eastAsia="Times New Roman" w:hAnsi="Georgia" w:cs="Times New Roman"/>
          <w:color w:val="0F0F0F"/>
          <w:sz w:val="23"/>
          <w:szCs w:val="23"/>
          <w:lang w:eastAsia="en-GB"/>
        </w:rPr>
        <w:t>stento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riesce</w:t>
      </w:r>
      <w:proofErr w:type="spellEnd"/>
      <w:r w:rsidRPr="00D22818">
        <w:rPr>
          <w:rFonts w:ascii="Georgia" w:eastAsia="Times New Roman" w:hAnsi="Georgia" w:cs="Times New Roman"/>
          <w:color w:val="0F0F0F"/>
          <w:sz w:val="23"/>
          <w:szCs w:val="23"/>
          <w:lang w:eastAsia="en-GB"/>
        </w:rPr>
        <w:t xml:space="preserve"> a </w:t>
      </w:r>
      <w:proofErr w:type="spellStart"/>
      <w:r w:rsidRPr="00D22818">
        <w:rPr>
          <w:rFonts w:ascii="Georgia" w:eastAsia="Times New Roman" w:hAnsi="Georgia" w:cs="Times New Roman"/>
          <w:color w:val="0F0F0F"/>
          <w:sz w:val="23"/>
          <w:szCs w:val="23"/>
          <w:lang w:eastAsia="en-GB"/>
        </w:rPr>
        <w:t>superare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il</w:t>
      </w:r>
      <w:proofErr w:type="spellEnd"/>
      <w:r w:rsidRPr="00D22818">
        <w:rPr>
          <w:rFonts w:ascii="Georgia" w:eastAsia="Times New Roman" w:hAnsi="Georgia" w:cs="Times New Roman"/>
          <w:color w:val="0F0F0F"/>
          <w:sz w:val="23"/>
          <w:szCs w:val="23"/>
          <w:lang w:eastAsia="en-GB"/>
        </w:rPr>
        <w:t xml:space="preserve"> 2 per cento. </w:t>
      </w:r>
      <w:proofErr w:type="spellStart"/>
      <w:r w:rsidRPr="00D22818">
        <w:rPr>
          <w:rFonts w:ascii="Georgia" w:eastAsia="Times New Roman" w:hAnsi="Georgia" w:cs="Times New Roman"/>
          <w:color w:val="0F0F0F"/>
          <w:sz w:val="23"/>
          <w:szCs w:val="23"/>
          <w:lang w:eastAsia="en-GB"/>
        </w:rPr>
        <w:t>Ancora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più</w:t>
      </w:r>
      <w:proofErr w:type="spellEnd"/>
      <w:r w:rsidRPr="00D22818">
        <w:rPr>
          <w:rFonts w:ascii="Georgia" w:eastAsia="Times New Roman" w:hAnsi="Georgia" w:cs="Times New Roman"/>
          <w:color w:val="0F0F0F"/>
          <w:sz w:val="23"/>
          <w:szCs w:val="23"/>
          <w:lang w:eastAsia="en-GB"/>
        </w:rPr>
        <w:t xml:space="preserve"> grave, sotto </w:t>
      </w:r>
      <w:proofErr w:type="spellStart"/>
      <w:r w:rsidRPr="00D22818">
        <w:rPr>
          <w:rFonts w:ascii="Georgia" w:eastAsia="Times New Roman" w:hAnsi="Georgia" w:cs="Times New Roman"/>
          <w:color w:val="0F0F0F"/>
          <w:sz w:val="23"/>
          <w:szCs w:val="23"/>
          <w:lang w:eastAsia="en-GB"/>
        </w:rPr>
        <w:t>questo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aspetto</w:t>
      </w:r>
      <w:proofErr w:type="spellEnd"/>
      <w:r w:rsidRPr="00D22818">
        <w:rPr>
          <w:rFonts w:ascii="Georgia" w:eastAsia="Times New Roman" w:hAnsi="Georgia" w:cs="Times New Roman"/>
          <w:color w:val="0F0F0F"/>
          <w:sz w:val="23"/>
          <w:szCs w:val="23"/>
          <w:lang w:eastAsia="en-GB"/>
        </w:rPr>
        <w:t xml:space="preserve">, è </w:t>
      </w:r>
      <w:proofErr w:type="spellStart"/>
      <w:r w:rsidRPr="00D22818">
        <w:rPr>
          <w:rFonts w:ascii="Georgia" w:eastAsia="Times New Roman" w:hAnsi="Georgia" w:cs="Times New Roman"/>
          <w:color w:val="0F0F0F"/>
          <w:sz w:val="23"/>
          <w:szCs w:val="23"/>
          <w:lang w:eastAsia="en-GB"/>
        </w:rPr>
        <w:t>il</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fatto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che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nel</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frattempo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sia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aumentato</w:t>
      </w:r>
      <w:proofErr w:type="spellEnd"/>
      <w:r w:rsidRPr="00D22818">
        <w:rPr>
          <w:rFonts w:ascii="Georgia" w:eastAsia="Times New Roman" w:hAnsi="Georgia" w:cs="Times New Roman"/>
          <w:color w:val="0F0F0F"/>
          <w:sz w:val="23"/>
          <w:szCs w:val="23"/>
          <w:lang w:eastAsia="en-GB"/>
        </w:rPr>
        <w:t xml:space="preserve">, da 81 </w:t>
      </w:r>
      <w:proofErr w:type="gramStart"/>
      <w:r w:rsidRPr="00D22818">
        <w:rPr>
          <w:rFonts w:ascii="Georgia" w:eastAsia="Times New Roman" w:hAnsi="Georgia" w:cs="Times New Roman"/>
          <w:color w:val="0F0F0F"/>
          <w:sz w:val="23"/>
          <w:szCs w:val="23"/>
          <w:lang w:eastAsia="en-GB"/>
        </w:rPr>
        <w:t>a</w:t>
      </w:r>
      <w:proofErr w:type="gramEnd"/>
      <w:r w:rsidRPr="00D22818">
        <w:rPr>
          <w:rFonts w:ascii="Georgia" w:eastAsia="Times New Roman" w:hAnsi="Georgia" w:cs="Times New Roman"/>
          <w:color w:val="0F0F0F"/>
          <w:sz w:val="23"/>
          <w:szCs w:val="23"/>
          <w:lang w:eastAsia="en-GB"/>
        </w:rPr>
        <w:t xml:space="preserve"> 84, </w:t>
      </w:r>
      <w:proofErr w:type="spellStart"/>
      <w:r w:rsidRPr="00D22818">
        <w:rPr>
          <w:rFonts w:ascii="Georgia" w:eastAsia="Times New Roman" w:hAnsi="Georgia" w:cs="Times New Roman"/>
          <w:color w:val="0F0F0F"/>
          <w:sz w:val="23"/>
          <w:szCs w:val="23"/>
          <w:lang w:eastAsia="en-GB"/>
        </w:rPr>
        <w:t>il</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numero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delle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società</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che</w:t>
      </w:r>
      <w:proofErr w:type="spellEnd"/>
      <w:r w:rsidRPr="00D22818">
        <w:rPr>
          <w:rFonts w:ascii="Georgia" w:eastAsia="Times New Roman" w:hAnsi="Georgia" w:cs="Times New Roman"/>
          <w:color w:val="0F0F0F"/>
          <w:sz w:val="23"/>
          <w:szCs w:val="23"/>
          <w:lang w:eastAsia="en-GB"/>
        </w:rPr>
        <w:t xml:space="preserve"> non </w:t>
      </w:r>
      <w:proofErr w:type="spellStart"/>
      <w:r w:rsidRPr="00D22818">
        <w:rPr>
          <w:rFonts w:ascii="Georgia" w:eastAsia="Times New Roman" w:hAnsi="Georgia" w:cs="Times New Roman"/>
          <w:color w:val="0F0F0F"/>
          <w:sz w:val="23"/>
          <w:szCs w:val="23"/>
          <w:lang w:eastAsia="en-GB"/>
        </w:rPr>
        <w:t>hanno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copertura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degli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analisti</w:t>
      </w:r>
      <w:proofErr w:type="spellEnd"/>
      <w:r w:rsidRPr="00D22818">
        <w:rPr>
          <w:rFonts w:ascii="Georgia" w:eastAsia="Times New Roman" w:hAnsi="Georgia" w:cs="Times New Roman"/>
          <w:color w:val="0F0F0F"/>
          <w:sz w:val="23"/>
          <w:szCs w:val="23"/>
          <w:lang w:eastAsia="en-GB"/>
        </w:rPr>
        <w:t>.</w:t>
      </w:r>
    </w:p>
    <w:p w14:paraId="054E56DF" w14:textId="77777777" w:rsidR="00D22818" w:rsidRPr="00D22818" w:rsidRDefault="00D22818" w:rsidP="00D22818">
      <w:pPr>
        <w:shd w:val="clear" w:color="auto" w:fill="F5E5D5"/>
        <w:spacing w:after="450" w:line="240" w:lineRule="auto"/>
        <w:rPr>
          <w:rFonts w:ascii="Georgia" w:eastAsia="Times New Roman" w:hAnsi="Georgia" w:cs="Times New Roman"/>
          <w:color w:val="0F0F0F"/>
          <w:sz w:val="23"/>
          <w:szCs w:val="23"/>
          <w:lang w:eastAsia="en-GB"/>
        </w:rPr>
      </w:pPr>
      <w:r w:rsidRPr="00D22818">
        <w:rPr>
          <w:rFonts w:ascii="Georgia" w:eastAsia="Times New Roman" w:hAnsi="Georgia" w:cs="Times New Roman"/>
          <w:color w:val="0F0F0F"/>
          <w:sz w:val="23"/>
          <w:szCs w:val="23"/>
          <w:lang w:eastAsia="en-GB"/>
        </w:rPr>
        <w:lastRenderedPageBreak/>
        <w:t xml:space="preserve">La </w:t>
      </w:r>
      <w:proofErr w:type="spellStart"/>
      <w:r w:rsidRPr="00D22818">
        <w:rPr>
          <w:rFonts w:ascii="Georgia" w:eastAsia="Times New Roman" w:hAnsi="Georgia" w:cs="Times New Roman"/>
          <w:color w:val="0F0F0F"/>
          <w:sz w:val="23"/>
          <w:szCs w:val="23"/>
          <w:lang w:eastAsia="en-GB"/>
        </w:rPr>
        <w:t>questione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gira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essenzialmente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attorno</w:t>
      </w:r>
      <w:proofErr w:type="spellEnd"/>
      <w:r w:rsidRPr="00D22818">
        <w:rPr>
          <w:rFonts w:ascii="Georgia" w:eastAsia="Times New Roman" w:hAnsi="Georgia" w:cs="Times New Roman"/>
          <w:color w:val="0F0F0F"/>
          <w:sz w:val="23"/>
          <w:szCs w:val="23"/>
          <w:lang w:eastAsia="en-GB"/>
        </w:rPr>
        <w:t xml:space="preserve"> al </w:t>
      </w:r>
      <w:proofErr w:type="spellStart"/>
      <w:r w:rsidRPr="00D22818">
        <w:rPr>
          <w:rFonts w:ascii="Georgia" w:eastAsia="Times New Roman" w:hAnsi="Georgia" w:cs="Times New Roman"/>
          <w:color w:val="0F0F0F"/>
          <w:sz w:val="23"/>
          <w:szCs w:val="23"/>
          <w:lang w:eastAsia="en-GB"/>
        </w:rPr>
        <w:t>tema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costi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Tecnicamente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il</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problema</w:t>
      </w:r>
      <w:proofErr w:type="spellEnd"/>
      <w:r w:rsidRPr="00D22818">
        <w:rPr>
          <w:rFonts w:ascii="Georgia" w:eastAsia="Times New Roman" w:hAnsi="Georgia" w:cs="Times New Roman"/>
          <w:color w:val="0F0F0F"/>
          <w:sz w:val="23"/>
          <w:szCs w:val="23"/>
          <w:lang w:eastAsia="en-GB"/>
        </w:rPr>
        <w:t xml:space="preserve"> è </w:t>
      </w:r>
      <w:proofErr w:type="spellStart"/>
      <w:r w:rsidRPr="00D22818">
        <w:rPr>
          <w:rFonts w:ascii="Georgia" w:eastAsia="Times New Roman" w:hAnsi="Georgia" w:cs="Times New Roman"/>
          <w:color w:val="0F0F0F"/>
          <w:sz w:val="23"/>
          <w:szCs w:val="23"/>
          <w:lang w:eastAsia="en-GB"/>
        </w:rPr>
        <w:t>infatti</w:t>
      </w:r>
      <w:proofErr w:type="spellEnd"/>
      <w:r w:rsidRPr="00D22818">
        <w:rPr>
          <w:rFonts w:ascii="Georgia" w:eastAsia="Times New Roman" w:hAnsi="Georgia" w:cs="Times New Roman"/>
          <w:color w:val="0F0F0F"/>
          <w:sz w:val="23"/>
          <w:szCs w:val="23"/>
          <w:lang w:eastAsia="en-GB"/>
        </w:rPr>
        <w:t xml:space="preserve"> legato a un </w:t>
      </w:r>
      <w:proofErr w:type="spellStart"/>
      <w:r w:rsidRPr="00D22818">
        <w:rPr>
          <w:rFonts w:ascii="Georgia" w:eastAsia="Times New Roman" w:hAnsi="Georgia" w:cs="Times New Roman"/>
          <w:color w:val="0F0F0F"/>
          <w:sz w:val="23"/>
          <w:szCs w:val="23"/>
          <w:lang w:eastAsia="en-GB"/>
        </w:rPr>
        <w:t>concetto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noto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nel</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settore</w:t>
      </w:r>
      <w:proofErr w:type="spellEnd"/>
      <w:r w:rsidRPr="00D22818">
        <w:rPr>
          <w:rFonts w:ascii="Georgia" w:eastAsia="Times New Roman" w:hAnsi="Georgia" w:cs="Times New Roman"/>
          <w:color w:val="0F0F0F"/>
          <w:sz w:val="23"/>
          <w:szCs w:val="23"/>
          <w:lang w:eastAsia="en-GB"/>
        </w:rPr>
        <w:t xml:space="preserve"> come unbundling, </w:t>
      </w:r>
      <w:proofErr w:type="spellStart"/>
      <w:r w:rsidRPr="00D22818">
        <w:rPr>
          <w:rFonts w:ascii="Georgia" w:eastAsia="Times New Roman" w:hAnsi="Georgia" w:cs="Times New Roman"/>
          <w:color w:val="0F0F0F"/>
          <w:sz w:val="23"/>
          <w:szCs w:val="23"/>
          <w:lang w:eastAsia="en-GB"/>
        </w:rPr>
        <w:t>ovvero</w:t>
      </w:r>
      <w:proofErr w:type="spellEnd"/>
      <w:r w:rsidRPr="00D22818">
        <w:rPr>
          <w:rFonts w:ascii="Georgia" w:eastAsia="Times New Roman" w:hAnsi="Georgia" w:cs="Times New Roman"/>
          <w:color w:val="0F0F0F"/>
          <w:sz w:val="23"/>
          <w:szCs w:val="23"/>
          <w:lang w:eastAsia="en-GB"/>
        </w:rPr>
        <w:t xml:space="preserve"> la </w:t>
      </w:r>
      <w:proofErr w:type="spellStart"/>
      <w:r w:rsidRPr="00D22818">
        <w:rPr>
          <w:rFonts w:ascii="Georgia" w:eastAsia="Times New Roman" w:hAnsi="Georgia" w:cs="Times New Roman"/>
          <w:color w:val="0F0F0F"/>
          <w:sz w:val="23"/>
          <w:szCs w:val="23"/>
          <w:lang w:eastAsia="en-GB"/>
        </w:rPr>
        <w:t>separazione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delle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spese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sostenute</w:t>
      </w:r>
      <w:proofErr w:type="spellEnd"/>
      <w:r w:rsidRPr="00D22818">
        <w:rPr>
          <w:rFonts w:ascii="Georgia" w:eastAsia="Times New Roman" w:hAnsi="Georgia" w:cs="Times New Roman"/>
          <w:color w:val="0F0F0F"/>
          <w:sz w:val="23"/>
          <w:szCs w:val="23"/>
          <w:lang w:eastAsia="en-GB"/>
        </w:rPr>
        <w:t xml:space="preserve"> per la </w:t>
      </w:r>
      <w:proofErr w:type="spellStart"/>
      <w:r w:rsidRPr="00D22818">
        <w:rPr>
          <w:rFonts w:ascii="Georgia" w:eastAsia="Times New Roman" w:hAnsi="Georgia" w:cs="Times New Roman"/>
          <w:color w:val="0F0F0F"/>
          <w:sz w:val="23"/>
          <w:szCs w:val="23"/>
          <w:lang w:eastAsia="en-GB"/>
        </w:rPr>
        <w:t>ricerca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effettuata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sugli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investimenti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Fino</w:t>
      </w:r>
      <w:proofErr w:type="spellEnd"/>
      <w:r w:rsidRPr="00D22818">
        <w:rPr>
          <w:rFonts w:ascii="Georgia" w:eastAsia="Times New Roman" w:hAnsi="Georgia" w:cs="Times New Roman"/>
          <w:color w:val="0F0F0F"/>
          <w:sz w:val="23"/>
          <w:szCs w:val="23"/>
          <w:lang w:eastAsia="en-GB"/>
        </w:rPr>
        <w:t xml:space="preserve"> a un anno e mezzo fa </w:t>
      </w:r>
      <w:proofErr w:type="spellStart"/>
      <w:r w:rsidRPr="00D22818">
        <w:rPr>
          <w:rFonts w:ascii="Georgia" w:eastAsia="Times New Roman" w:hAnsi="Georgia" w:cs="Times New Roman"/>
          <w:color w:val="0F0F0F"/>
          <w:sz w:val="23"/>
          <w:szCs w:val="23"/>
          <w:lang w:eastAsia="en-GB"/>
        </w:rPr>
        <w:t>queste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ultime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venivano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sovvenzionate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dagli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stessi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clienti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attraverso</w:t>
      </w:r>
      <w:proofErr w:type="spellEnd"/>
      <w:r w:rsidRPr="00D22818">
        <w:rPr>
          <w:rFonts w:ascii="Georgia" w:eastAsia="Times New Roman" w:hAnsi="Georgia" w:cs="Times New Roman"/>
          <w:color w:val="0F0F0F"/>
          <w:sz w:val="23"/>
          <w:szCs w:val="23"/>
          <w:lang w:eastAsia="en-GB"/>
        </w:rPr>
        <w:t xml:space="preserve"> le </w:t>
      </w:r>
      <w:proofErr w:type="spellStart"/>
      <w:r w:rsidRPr="00D22818">
        <w:rPr>
          <w:rFonts w:ascii="Georgia" w:eastAsia="Times New Roman" w:hAnsi="Georgia" w:cs="Times New Roman"/>
          <w:color w:val="0F0F0F"/>
          <w:sz w:val="23"/>
          <w:szCs w:val="23"/>
          <w:lang w:eastAsia="en-GB"/>
        </w:rPr>
        <w:t>commissioni</w:t>
      </w:r>
      <w:proofErr w:type="spellEnd"/>
      <w:r w:rsidRPr="00D22818">
        <w:rPr>
          <w:rFonts w:ascii="Georgia" w:eastAsia="Times New Roman" w:hAnsi="Georgia" w:cs="Times New Roman"/>
          <w:color w:val="0F0F0F"/>
          <w:sz w:val="23"/>
          <w:szCs w:val="23"/>
          <w:lang w:eastAsia="en-GB"/>
        </w:rPr>
        <w:t xml:space="preserve"> generate </w:t>
      </w:r>
      <w:proofErr w:type="spellStart"/>
      <w:r w:rsidRPr="00D22818">
        <w:rPr>
          <w:rFonts w:ascii="Georgia" w:eastAsia="Times New Roman" w:hAnsi="Georgia" w:cs="Times New Roman"/>
          <w:color w:val="0F0F0F"/>
          <w:sz w:val="23"/>
          <w:szCs w:val="23"/>
          <w:lang w:eastAsia="en-GB"/>
        </w:rPr>
        <w:t>attraverso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l’intermediazione</w:t>
      </w:r>
      <w:proofErr w:type="spellEnd"/>
      <w:r w:rsidRPr="00D22818">
        <w:rPr>
          <w:rFonts w:ascii="Georgia" w:eastAsia="Times New Roman" w:hAnsi="Georgia" w:cs="Times New Roman"/>
          <w:color w:val="0F0F0F"/>
          <w:sz w:val="23"/>
          <w:szCs w:val="23"/>
          <w:lang w:eastAsia="en-GB"/>
        </w:rPr>
        <w:t xml:space="preserve"> e </w:t>
      </w:r>
      <w:proofErr w:type="spellStart"/>
      <w:r w:rsidRPr="00D22818">
        <w:rPr>
          <w:rFonts w:ascii="Georgia" w:eastAsia="Times New Roman" w:hAnsi="Georgia" w:cs="Times New Roman"/>
          <w:color w:val="0F0F0F"/>
          <w:sz w:val="23"/>
          <w:szCs w:val="23"/>
          <w:lang w:eastAsia="en-GB"/>
        </w:rPr>
        <w:t>l’esecuzione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degli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ordini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creando</w:t>
      </w:r>
      <w:proofErr w:type="spellEnd"/>
      <w:r w:rsidRPr="00D22818">
        <w:rPr>
          <w:rFonts w:ascii="Georgia" w:eastAsia="Times New Roman" w:hAnsi="Georgia" w:cs="Times New Roman"/>
          <w:color w:val="0F0F0F"/>
          <w:sz w:val="23"/>
          <w:szCs w:val="23"/>
          <w:lang w:eastAsia="en-GB"/>
        </w:rPr>
        <w:t xml:space="preserve"> un </w:t>
      </w:r>
      <w:proofErr w:type="spellStart"/>
      <w:r w:rsidRPr="00D22818">
        <w:rPr>
          <w:rFonts w:ascii="Georgia" w:eastAsia="Times New Roman" w:hAnsi="Georgia" w:cs="Times New Roman"/>
          <w:color w:val="0F0F0F"/>
          <w:sz w:val="23"/>
          <w:szCs w:val="23"/>
          <w:lang w:eastAsia="en-GB"/>
        </w:rPr>
        <w:t>potenziale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conflitto</w:t>
      </w:r>
      <w:proofErr w:type="spellEnd"/>
      <w:r w:rsidRPr="00D22818">
        <w:rPr>
          <w:rFonts w:ascii="Georgia" w:eastAsia="Times New Roman" w:hAnsi="Georgia" w:cs="Times New Roman"/>
          <w:color w:val="0F0F0F"/>
          <w:sz w:val="23"/>
          <w:szCs w:val="23"/>
          <w:lang w:eastAsia="en-GB"/>
        </w:rPr>
        <w:t xml:space="preserve"> di </w:t>
      </w:r>
      <w:proofErr w:type="spellStart"/>
      <w:r w:rsidRPr="00D22818">
        <w:rPr>
          <w:rFonts w:ascii="Georgia" w:eastAsia="Times New Roman" w:hAnsi="Georgia" w:cs="Times New Roman"/>
          <w:color w:val="0F0F0F"/>
          <w:sz w:val="23"/>
          <w:szCs w:val="23"/>
          <w:lang w:eastAsia="en-GB"/>
        </w:rPr>
        <w:t>interessi</w:t>
      </w:r>
      <w:proofErr w:type="spellEnd"/>
      <w:r w:rsidRPr="00D22818">
        <w:rPr>
          <w:rFonts w:ascii="Georgia" w:eastAsia="Times New Roman" w:hAnsi="Georgia" w:cs="Times New Roman"/>
          <w:color w:val="0F0F0F"/>
          <w:sz w:val="23"/>
          <w:szCs w:val="23"/>
          <w:lang w:eastAsia="en-GB"/>
        </w:rPr>
        <w:t xml:space="preserve"> in capo </w:t>
      </w:r>
      <w:proofErr w:type="spellStart"/>
      <w:r w:rsidRPr="00D22818">
        <w:rPr>
          <w:rFonts w:ascii="Georgia" w:eastAsia="Times New Roman" w:hAnsi="Georgia" w:cs="Times New Roman"/>
          <w:color w:val="0F0F0F"/>
          <w:sz w:val="23"/>
          <w:szCs w:val="23"/>
          <w:lang w:eastAsia="en-GB"/>
        </w:rPr>
        <w:t>allo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stesso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gestore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che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poteva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caricare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più</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commissioni</w:t>
      </w:r>
      <w:proofErr w:type="spellEnd"/>
      <w:r w:rsidRPr="00D22818">
        <w:rPr>
          <w:rFonts w:ascii="Georgia" w:eastAsia="Times New Roman" w:hAnsi="Georgia" w:cs="Times New Roman"/>
          <w:color w:val="0F0F0F"/>
          <w:sz w:val="23"/>
          <w:szCs w:val="23"/>
          <w:lang w:eastAsia="en-GB"/>
        </w:rPr>
        <w:t xml:space="preserve"> del </w:t>
      </w:r>
      <w:proofErr w:type="spellStart"/>
      <w:r w:rsidRPr="00D22818">
        <w:rPr>
          <w:rFonts w:ascii="Georgia" w:eastAsia="Times New Roman" w:hAnsi="Georgia" w:cs="Times New Roman"/>
          <w:color w:val="0F0F0F"/>
          <w:sz w:val="23"/>
          <w:szCs w:val="23"/>
          <w:lang w:eastAsia="en-GB"/>
        </w:rPr>
        <w:t>necessario</w:t>
      </w:r>
      <w:proofErr w:type="spellEnd"/>
      <w:r w:rsidRPr="00D22818">
        <w:rPr>
          <w:rFonts w:ascii="Georgia" w:eastAsia="Times New Roman" w:hAnsi="Georgia" w:cs="Times New Roman"/>
          <w:color w:val="0F0F0F"/>
          <w:sz w:val="23"/>
          <w:szCs w:val="23"/>
          <w:lang w:eastAsia="en-GB"/>
        </w:rPr>
        <w:t xml:space="preserve"> per </w:t>
      </w:r>
      <w:proofErr w:type="spellStart"/>
      <w:r w:rsidRPr="00D22818">
        <w:rPr>
          <w:rFonts w:ascii="Georgia" w:eastAsia="Times New Roman" w:hAnsi="Georgia" w:cs="Times New Roman"/>
          <w:color w:val="0F0F0F"/>
          <w:sz w:val="23"/>
          <w:szCs w:val="23"/>
          <w:lang w:eastAsia="en-GB"/>
        </w:rPr>
        <w:t>finanziare</w:t>
      </w:r>
      <w:proofErr w:type="spellEnd"/>
      <w:r w:rsidRPr="00D22818">
        <w:rPr>
          <w:rFonts w:ascii="Georgia" w:eastAsia="Times New Roman" w:hAnsi="Georgia" w:cs="Times New Roman"/>
          <w:color w:val="0F0F0F"/>
          <w:sz w:val="23"/>
          <w:szCs w:val="23"/>
          <w:lang w:eastAsia="en-GB"/>
        </w:rPr>
        <w:t xml:space="preserve"> la </w:t>
      </w:r>
      <w:proofErr w:type="spellStart"/>
      <w:r w:rsidRPr="00D22818">
        <w:rPr>
          <w:rFonts w:ascii="Georgia" w:eastAsia="Times New Roman" w:hAnsi="Georgia" w:cs="Times New Roman"/>
          <w:color w:val="0F0F0F"/>
          <w:sz w:val="23"/>
          <w:szCs w:val="23"/>
          <w:lang w:eastAsia="en-GB"/>
        </w:rPr>
        <w:t>stessa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ricerca</w:t>
      </w:r>
      <w:proofErr w:type="spellEnd"/>
      <w:r w:rsidRPr="00D22818">
        <w:rPr>
          <w:rFonts w:ascii="Georgia" w:eastAsia="Times New Roman" w:hAnsi="Georgia" w:cs="Times New Roman"/>
          <w:color w:val="0F0F0F"/>
          <w:sz w:val="23"/>
          <w:szCs w:val="23"/>
          <w:lang w:eastAsia="en-GB"/>
        </w:rPr>
        <w:t>. Lo «</w:t>
      </w:r>
      <w:proofErr w:type="spellStart"/>
      <w:r w:rsidRPr="00D22818">
        <w:rPr>
          <w:rFonts w:ascii="Georgia" w:eastAsia="Times New Roman" w:hAnsi="Georgia" w:cs="Times New Roman"/>
          <w:color w:val="0F0F0F"/>
          <w:sz w:val="23"/>
          <w:szCs w:val="23"/>
          <w:lang w:eastAsia="en-GB"/>
        </w:rPr>
        <w:t>spacchettamento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dei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costi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stabilito</w:t>
      </w:r>
      <w:proofErr w:type="spellEnd"/>
      <w:r w:rsidRPr="00D22818">
        <w:rPr>
          <w:rFonts w:ascii="Georgia" w:eastAsia="Times New Roman" w:hAnsi="Georgia" w:cs="Times New Roman"/>
          <w:color w:val="0F0F0F"/>
          <w:sz w:val="23"/>
          <w:szCs w:val="23"/>
          <w:lang w:eastAsia="en-GB"/>
        </w:rPr>
        <w:t xml:space="preserve"> da </w:t>
      </w:r>
      <w:proofErr w:type="spellStart"/>
      <w:r w:rsidRPr="00D22818">
        <w:rPr>
          <w:rFonts w:ascii="Georgia" w:eastAsia="Times New Roman" w:hAnsi="Georgia" w:cs="Times New Roman"/>
          <w:color w:val="0F0F0F"/>
          <w:sz w:val="23"/>
          <w:szCs w:val="23"/>
          <w:lang w:eastAsia="en-GB"/>
        </w:rPr>
        <w:t>Mifid</w:t>
      </w:r>
      <w:proofErr w:type="spellEnd"/>
      <w:r w:rsidRPr="00D22818">
        <w:rPr>
          <w:rFonts w:ascii="Georgia" w:eastAsia="Times New Roman" w:hAnsi="Georgia" w:cs="Times New Roman"/>
          <w:color w:val="0F0F0F"/>
          <w:sz w:val="23"/>
          <w:szCs w:val="23"/>
          <w:lang w:eastAsia="en-GB"/>
        </w:rPr>
        <w:t xml:space="preserve"> 2 ha di </w:t>
      </w:r>
      <w:proofErr w:type="spellStart"/>
      <w:r w:rsidRPr="00D22818">
        <w:rPr>
          <w:rFonts w:ascii="Georgia" w:eastAsia="Times New Roman" w:hAnsi="Georgia" w:cs="Times New Roman"/>
          <w:color w:val="0F0F0F"/>
          <w:sz w:val="23"/>
          <w:szCs w:val="23"/>
          <w:lang w:eastAsia="en-GB"/>
        </w:rPr>
        <w:t>sicuro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favorito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maggiore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trasparenza</w:t>
      </w:r>
      <w:proofErr w:type="spellEnd"/>
      <w:r w:rsidRPr="00D22818">
        <w:rPr>
          <w:rFonts w:ascii="Georgia" w:eastAsia="Times New Roman" w:hAnsi="Georgia" w:cs="Times New Roman"/>
          <w:color w:val="0F0F0F"/>
          <w:sz w:val="23"/>
          <w:szCs w:val="23"/>
          <w:lang w:eastAsia="en-GB"/>
        </w:rPr>
        <w:t xml:space="preserve">, al tempo </w:t>
      </w:r>
      <w:proofErr w:type="spellStart"/>
      <w:r w:rsidRPr="00D22818">
        <w:rPr>
          <w:rFonts w:ascii="Georgia" w:eastAsia="Times New Roman" w:hAnsi="Georgia" w:cs="Times New Roman"/>
          <w:color w:val="0F0F0F"/>
          <w:sz w:val="23"/>
          <w:szCs w:val="23"/>
          <w:lang w:eastAsia="en-GB"/>
        </w:rPr>
        <w:t>stesso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però</w:t>
      </w:r>
      <w:proofErr w:type="spellEnd"/>
      <w:r w:rsidRPr="00D22818">
        <w:rPr>
          <w:rFonts w:ascii="Georgia" w:eastAsia="Times New Roman" w:hAnsi="Georgia" w:cs="Times New Roman"/>
          <w:color w:val="0F0F0F"/>
          <w:sz w:val="23"/>
          <w:szCs w:val="23"/>
          <w:lang w:eastAsia="en-GB"/>
        </w:rPr>
        <w:t xml:space="preserve"> ha </w:t>
      </w:r>
      <w:proofErr w:type="spellStart"/>
      <w:r w:rsidRPr="00D22818">
        <w:rPr>
          <w:rFonts w:ascii="Georgia" w:eastAsia="Times New Roman" w:hAnsi="Georgia" w:cs="Times New Roman"/>
          <w:color w:val="0F0F0F"/>
          <w:sz w:val="23"/>
          <w:szCs w:val="23"/>
          <w:lang w:eastAsia="en-GB"/>
        </w:rPr>
        <w:t>finito</w:t>
      </w:r>
      <w:proofErr w:type="spellEnd"/>
      <w:r w:rsidRPr="00D22818">
        <w:rPr>
          <w:rFonts w:ascii="Georgia" w:eastAsia="Times New Roman" w:hAnsi="Georgia" w:cs="Times New Roman"/>
          <w:color w:val="0F0F0F"/>
          <w:sz w:val="23"/>
          <w:szCs w:val="23"/>
          <w:lang w:eastAsia="en-GB"/>
        </w:rPr>
        <w:t xml:space="preserve"> per </w:t>
      </w:r>
      <w:proofErr w:type="spellStart"/>
      <w:r w:rsidRPr="00D22818">
        <w:rPr>
          <w:rFonts w:ascii="Georgia" w:eastAsia="Times New Roman" w:hAnsi="Georgia" w:cs="Times New Roman"/>
          <w:color w:val="0F0F0F"/>
          <w:sz w:val="23"/>
          <w:szCs w:val="23"/>
          <w:lang w:eastAsia="en-GB"/>
        </w:rPr>
        <w:t>mettere</w:t>
      </w:r>
      <w:proofErr w:type="spellEnd"/>
      <w:r w:rsidRPr="00D22818">
        <w:rPr>
          <w:rFonts w:ascii="Georgia" w:eastAsia="Times New Roman" w:hAnsi="Georgia" w:cs="Times New Roman"/>
          <w:color w:val="0F0F0F"/>
          <w:sz w:val="23"/>
          <w:szCs w:val="23"/>
          <w:lang w:eastAsia="en-GB"/>
        </w:rPr>
        <w:t xml:space="preserve"> i </w:t>
      </w:r>
      <w:proofErr w:type="spellStart"/>
      <w:r w:rsidRPr="00D22818">
        <w:rPr>
          <w:rFonts w:ascii="Georgia" w:eastAsia="Times New Roman" w:hAnsi="Georgia" w:cs="Times New Roman"/>
          <w:color w:val="0F0F0F"/>
          <w:sz w:val="23"/>
          <w:szCs w:val="23"/>
          <w:lang w:eastAsia="en-GB"/>
        </w:rPr>
        <w:t>bastoni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fra</w:t>
      </w:r>
      <w:proofErr w:type="spellEnd"/>
      <w:r w:rsidRPr="00D22818">
        <w:rPr>
          <w:rFonts w:ascii="Georgia" w:eastAsia="Times New Roman" w:hAnsi="Georgia" w:cs="Times New Roman"/>
          <w:color w:val="0F0F0F"/>
          <w:sz w:val="23"/>
          <w:szCs w:val="23"/>
          <w:lang w:eastAsia="en-GB"/>
        </w:rPr>
        <w:t xml:space="preserve"> le </w:t>
      </w:r>
      <w:proofErr w:type="spellStart"/>
      <w:r w:rsidRPr="00D22818">
        <w:rPr>
          <w:rFonts w:ascii="Georgia" w:eastAsia="Times New Roman" w:hAnsi="Georgia" w:cs="Times New Roman"/>
          <w:color w:val="0F0F0F"/>
          <w:sz w:val="23"/>
          <w:szCs w:val="23"/>
          <w:lang w:eastAsia="en-GB"/>
        </w:rPr>
        <w:t>ruote</w:t>
      </w:r>
      <w:proofErr w:type="spellEnd"/>
      <w:r w:rsidRPr="00D22818">
        <w:rPr>
          <w:rFonts w:ascii="Georgia" w:eastAsia="Times New Roman" w:hAnsi="Georgia" w:cs="Times New Roman"/>
          <w:color w:val="0F0F0F"/>
          <w:sz w:val="23"/>
          <w:szCs w:val="23"/>
          <w:lang w:eastAsia="en-GB"/>
        </w:rPr>
        <w:t xml:space="preserve"> di chi ha </w:t>
      </w:r>
      <w:proofErr w:type="spellStart"/>
      <w:r w:rsidRPr="00D22818">
        <w:rPr>
          <w:rFonts w:ascii="Georgia" w:eastAsia="Times New Roman" w:hAnsi="Georgia" w:cs="Times New Roman"/>
          <w:color w:val="0F0F0F"/>
          <w:sz w:val="23"/>
          <w:szCs w:val="23"/>
          <w:lang w:eastAsia="en-GB"/>
        </w:rPr>
        <w:t>deciso</w:t>
      </w:r>
      <w:proofErr w:type="spellEnd"/>
      <w:r w:rsidRPr="00D22818">
        <w:rPr>
          <w:rFonts w:ascii="Georgia" w:eastAsia="Times New Roman" w:hAnsi="Georgia" w:cs="Times New Roman"/>
          <w:color w:val="0F0F0F"/>
          <w:sz w:val="23"/>
          <w:szCs w:val="23"/>
          <w:lang w:eastAsia="en-GB"/>
        </w:rPr>
        <w:t xml:space="preserve"> di </w:t>
      </w:r>
      <w:proofErr w:type="spellStart"/>
      <w:r w:rsidRPr="00D22818">
        <w:rPr>
          <w:rFonts w:ascii="Georgia" w:eastAsia="Times New Roman" w:hAnsi="Georgia" w:cs="Times New Roman"/>
          <w:color w:val="0F0F0F"/>
          <w:sz w:val="23"/>
          <w:szCs w:val="23"/>
          <w:lang w:eastAsia="en-GB"/>
        </w:rPr>
        <w:t>accollarsi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nuovi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oneri</w:t>
      </w:r>
      <w:proofErr w:type="spellEnd"/>
      <w:r w:rsidRPr="00D22818">
        <w:rPr>
          <w:rFonts w:ascii="Georgia" w:eastAsia="Times New Roman" w:hAnsi="Georgia" w:cs="Times New Roman"/>
          <w:color w:val="0F0F0F"/>
          <w:sz w:val="23"/>
          <w:szCs w:val="23"/>
          <w:lang w:eastAsia="en-GB"/>
        </w:rPr>
        <w:t xml:space="preserve"> senza </w:t>
      </w:r>
      <w:proofErr w:type="spellStart"/>
      <w:r w:rsidRPr="00D22818">
        <w:rPr>
          <w:rFonts w:ascii="Georgia" w:eastAsia="Times New Roman" w:hAnsi="Georgia" w:cs="Times New Roman"/>
          <w:color w:val="0F0F0F"/>
          <w:sz w:val="23"/>
          <w:szCs w:val="23"/>
          <w:lang w:eastAsia="en-GB"/>
        </w:rPr>
        <w:t>passarli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alla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clientela</w:t>
      </w:r>
      <w:proofErr w:type="spellEnd"/>
      <w:r w:rsidRPr="00D22818">
        <w:rPr>
          <w:rFonts w:ascii="Georgia" w:eastAsia="Times New Roman" w:hAnsi="Georgia" w:cs="Times New Roman"/>
          <w:color w:val="0F0F0F"/>
          <w:sz w:val="23"/>
          <w:szCs w:val="23"/>
          <w:lang w:eastAsia="en-GB"/>
        </w:rPr>
        <w:t xml:space="preserve">, e </w:t>
      </w:r>
      <w:proofErr w:type="spellStart"/>
      <w:r w:rsidRPr="00D22818">
        <w:rPr>
          <w:rFonts w:ascii="Georgia" w:eastAsia="Times New Roman" w:hAnsi="Georgia" w:cs="Times New Roman"/>
          <w:color w:val="0F0F0F"/>
          <w:sz w:val="23"/>
          <w:szCs w:val="23"/>
          <w:lang w:eastAsia="en-GB"/>
        </w:rPr>
        <w: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risultati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sono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quelli</w:t>
      </w:r>
      <w:proofErr w:type="spellEnd"/>
      <w:r w:rsidRPr="00D22818">
        <w:rPr>
          <w:rFonts w:ascii="Georgia" w:eastAsia="Times New Roman" w:hAnsi="Georgia" w:cs="Times New Roman"/>
          <w:color w:val="0F0F0F"/>
          <w:sz w:val="23"/>
          <w:szCs w:val="23"/>
          <w:lang w:eastAsia="en-GB"/>
        </w:rPr>
        <w:t xml:space="preserve"> sopra </w:t>
      </w:r>
      <w:proofErr w:type="spellStart"/>
      <w:r w:rsidRPr="00D22818">
        <w:rPr>
          <w:rFonts w:ascii="Georgia" w:eastAsia="Times New Roman" w:hAnsi="Georgia" w:cs="Times New Roman"/>
          <w:color w:val="0F0F0F"/>
          <w:sz w:val="23"/>
          <w:szCs w:val="23"/>
          <w:lang w:eastAsia="en-GB"/>
        </w:rPr>
        <w:t>descritti</w:t>
      </w:r>
      <w:proofErr w:type="spellEnd"/>
      <w:r w:rsidRPr="00D22818">
        <w:rPr>
          <w:rFonts w:ascii="Georgia" w:eastAsia="Times New Roman" w:hAnsi="Georgia" w:cs="Times New Roman"/>
          <w:color w:val="0F0F0F"/>
          <w:sz w:val="23"/>
          <w:szCs w:val="23"/>
          <w:lang w:eastAsia="en-GB"/>
        </w:rPr>
        <w:t xml:space="preserve">: i budget per la </w:t>
      </w:r>
      <w:proofErr w:type="spellStart"/>
      <w:r w:rsidRPr="00D22818">
        <w:rPr>
          <w:rFonts w:ascii="Georgia" w:eastAsia="Times New Roman" w:hAnsi="Georgia" w:cs="Times New Roman"/>
          <w:color w:val="0F0F0F"/>
          <w:sz w:val="23"/>
          <w:szCs w:val="23"/>
          <w:lang w:eastAsia="en-GB"/>
        </w:rPr>
        <w:t>ricerca</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sono</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stati</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drasticamente</w:t>
      </w:r>
      <w:proofErr w:type="spellEnd"/>
      <w:r w:rsidRPr="00D22818">
        <w:rPr>
          <w:rFonts w:ascii="Georgia" w:eastAsia="Times New Roman" w:hAnsi="Georgia" w:cs="Times New Roman"/>
          <w:color w:val="0F0F0F"/>
          <w:sz w:val="23"/>
          <w:szCs w:val="23"/>
          <w:lang w:eastAsia="en-GB"/>
        </w:rPr>
        <w:t xml:space="preserve"> </w:t>
      </w:r>
      <w:proofErr w:type="spellStart"/>
      <w:r w:rsidRPr="00D22818">
        <w:rPr>
          <w:rFonts w:ascii="Georgia" w:eastAsia="Times New Roman" w:hAnsi="Georgia" w:cs="Times New Roman"/>
          <w:color w:val="0F0F0F"/>
          <w:sz w:val="23"/>
          <w:szCs w:val="23"/>
          <w:lang w:eastAsia="en-GB"/>
        </w:rPr>
        <w:t>ridotti</w:t>
      </w:r>
      <w:proofErr w:type="spellEnd"/>
      <w:r w:rsidRPr="00D22818">
        <w:rPr>
          <w:rFonts w:ascii="Georgia" w:eastAsia="Times New Roman" w:hAnsi="Georgia" w:cs="Times New Roman"/>
          <w:color w:val="0F0F0F"/>
          <w:sz w:val="23"/>
          <w:szCs w:val="23"/>
          <w:lang w:eastAsia="en-GB"/>
        </w:rPr>
        <w:t xml:space="preserve">, non </w:t>
      </w:r>
      <w:proofErr w:type="spellStart"/>
      <w:r w:rsidRPr="00D22818">
        <w:rPr>
          <w:rFonts w:ascii="Georgia" w:eastAsia="Times New Roman" w:hAnsi="Georgia" w:cs="Times New Roman"/>
          <w:color w:val="0F0F0F"/>
          <w:sz w:val="23"/>
          <w:szCs w:val="23"/>
          <w:lang w:eastAsia="en-GB"/>
        </w:rPr>
        <w:t>soltanto</w:t>
      </w:r>
      <w:proofErr w:type="spellEnd"/>
      <w:r w:rsidRPr="00D22818">
        <w:rPr>
          <w:rFonts w:ascii="Georgia" w:eastAsia="Times New Roman" w:hAnsi="Georgia" w:cs="Times New Roman"/>
          <w:color w:val="0F0F0F"/>
          <w:sz w:val="23"/>
          <w:szCs w:val="23"/>
          <w:lang w:eastAsia="en-GB"/>
        </w:rPr>
        <w:t xml:space="preserve"> in Italia.</w:t>
      </w:r>
    </w:p>
    <w:p w14:paraId="296753A6" w14:textId="77777777" w:rsidR="00D22818" w:rsidRPr="00D22818" w:rsidRDefault="00D22818" w:rsidP="00D22818">
      <w:pPr>
        <w:shd w:val="clear" w:color="auto" w:fill="F5E5D5"/>
        <w:spacing w:after="150" w:line="240" w:lineRule="auto"/>
        <w:rPr>
          <w:rFonts w:ascii="Georgia" w:eastAsia="Times New Roman" w:hAnsi="Georgia" w:cs="Times New Roman"/>
          <w:color w:val="0F0F0F"/>
          <w:sz w:val="23"/>
          <w:szCs w:val="23"/>
          <w:lang w:eastAsia="en-GB"/>
        </w:rPr>
      </w:pPr>
      <w:r w:rsidRPr="00D22818">
        <w:rPr>
          <w:rFonts w:ascii="Georgia" w:eastAsia="Times New Roman" w:hAnsi="Georgia" w:cs="Times New Roman"/>
          <w:color w:val="0F0F0F"/>
          <w:sz w:val="23"/>
          <w:szCs w:val="23"/>
          <w:lang w:eastAsia="en-GB"/>
        </w:rPr>
        <w:t xml:space="preserve">18 </w:t>
      </w:r>
      <w:proofErr w:type="spellStart"/>
      <w:r w:rsidRPr="00D22818">
        <w:rPr>
          <w:rFonts w:ascii="Georgia" w:eastAsia="Times New Roman" w:hAnsi="Georgia" w:cs="Times New Roman"/>
          <w:color w:val="0F0F0F"/>
          <w:sz w:val="23"/>
          <w:szCs w:val="23"/>
          <w:lang w:eastAsia="en-GB"/>
        </w:rPr>
        <w:t>giugno</w:t>
      </w:r>
      <w:proofErr w:type="spellEnd"/>
      <w:r w:rsidRPr="00D22818">
        <w:rPr>
          <w:rFonts w:ascii="Georgia" w:eastAsia="Times New Roman" w:hAnsi="Georgia" w:cs="Times New Roman"/>
          <w:color w:val="0F0F0F"/>
          <w:sz w:val="23"/>
          <w:szCs w:val="23"/>
          <w:lang w:eastAsia="en-GB"/>
        </w:rPr>
        <w:t xml:space="preserve"> 2019</w:t>
      </w:r>
    </w:p>
    <w:p w14:paraId="7137FF78" w14:textId="2079224D" w:rsidR="00841E8B" w:rsidRPr="00841E8B" w:rsidRDefault="00D22818" w:rsidP="00841E8B">
      <w:pPr>
        <w:numPr>
          <w:ilvl w:val="0"/>
          <w:numId w:val="5"/>
        </w:numPr>
        <w:shd w:val="clear" w:color="auto" w:fill="F5E5D5"/>
        <w:spacing w:before="100" w:beforeAutospacing="1" w:after="100" w:afterAutospacing="1" w:line="240" w:lineRule="auto"/>
        <w:ind w:left="495"/>
        <w:rPr>
          <w:rFonts w:ascii="Georgia" w:eastAsia="Times New Roman" w:hAnsi="Georgia" w:cs="Times New Roman"/>
          <w:color w:val="0F0F0F"/>
          <w:sz w:val="23"/>
          <w:szCs w:val="23"/>
          <w:lang w:eastAsia="en-GB"/>
        </w:rPr>
      </w:pPr>
      <w:r w:rsidRPr="00D22818">
        <w:rPr>
          <w:rFonts w:ascii="Georgia" w:eastAsia="Times New Roman" w:hAnsi="Georgia" w:cs="Times New Roman"/>
          <w:noProof/>
          <w:color w:val="0F0F0F"/>
          <w:sz w:val="23"/>
          <w:szCs w:val="23"/>
          <w:lang w:eastAsia="en-GB"/>
        </w:rPr>
        <w:drawing>
          <wp:inline distT="0" distB="0" distL="0" distR="0" wp14:anchorId="774DBA30" wp14:editId="7BECB613">
            <wp:extent cx="2952750" cy="1553210"/>
            <wp:effectExtent l="0" t="0" r="0" b="8890"/>
            <wp:docPr id="5" name="Picture 5" descr="https://i2.res.24o.it/art/finanza-e-mercati/2018-03-27/scatta-mifid-2-l-europa-dice-stop-casino-finanziari-202020/images/fotohome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res.24o.it/art/finanza-e-mercati/2018-03-27/scatta-mifid-2-l-europa-dice-stop-casino-finanziari-202020/images/fotohome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1553210"/>
                    </a:xfrm>
                    <a:prstGeom prst="rect">
                      <a:avLst/>
                    </a:prstGeom>
                    <a:noFill/>
                    <a:ln>
                      <a:noFill/>
                    </a:ln>
                  </pic:spPr>
                </pic:pic>
              </a:graphicData>
            </a:graphic>
          </wp:inline>
        </w:drawing>
      </w:r>
      <w:r w:rsidRPr="00841E8B">
        <w:rPr>
          <w:rFonts w:ascii="Arial" w:eastAsia="Times New Roman" w:hAnsi="Arial" w:cs="Arial"/>
          <w:caps/>
          <w:color w:val="003C7F"/>
          <w:sz w:val="2"/>
          <w:szCs w:val="2"/>
          <w:u w:val="single"/>
          <w:lang w:eastAsia="en-GB"/>
        </w:rPr>
        <w:t>DOPO LA DECISIONE DELL’ESMA</w:t>
      </w:r>
    </w:p>
    <w:p w14:paraId="0964E6D4" w14:textId="7EF80F68" w:rsidR="00841E8B" w:rsidRDefault="00841E8B" w:rsidP="00D22818">
      <w:pPr>
        <w:shd w:val="clear" w:color="auto" w:fill="F5E5D5"/>
        <w:spacing w:after="30" w:line="240" w:lineRule="auto"/>
        <w:ind w:left="495"/>
        <w:rPr>
          <w:rFonts w:ascii="Arial" w:eastAsia="Times New Roman" w:hAnsi="Arial" w:cs="Arial"/>
          <w:caps/>
          <w:color w:val="003C7F"/>
          <w:sz w:val="2"/>
          <w:szCs w:val="2"/>
          <w:u w:val="single"/>
          <w:lang w:eastAsia="en-GB"/>
        </w:rPr>
      </w:pPr>
    </w:p>
    <w:p w14:paraId="0DA57F51" w14:textId="07812428" w:rsidR="00841E8B" w:rsidRDefault="00841E8B" w:rsidP="00841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en-GB"/>
        </w:rPr>
      </w:pPr>
      <w:r w:rsidRPr="00841E8B">
        <w:rPr>
          <w:rFonts w:ascii="inherit" w:eastAsia="Times New Roman" w:hAnsi="inherit" w:cs="Courier New"/>
          <w:color w:val="222222"/>
          <w:sz w:val="42"/>
          <w:szCs w:val="42"/>
          <w:lang w:val="en" w:eastAsia="en-GB"/>
        </w:rPr>
        <w:t>Mifid2 makes its first victim: analysis on Italian companies cut</w:t>
      </w:r>
    </w:p>
    <w:p w14:paraId="0054C4D0" w14:textId="77777777" w:rsidR="00841E8B" w:rsidRPr="00841E8B" w:rsidRDefault="00841E8B" w:rsidP="00841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n-GB"/>
        </w:rPr>
      </w:pPr>
    </w:p>
    <w:p w14:paraId="776FAFC5" w14:textId="24A5C1A6" w:rsidR="00841E8B" w:rsidRDefault="00841E8B" w:rsidP="00841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lang w:val="en" w:eastAsia="en-GB"/>
        </w:rPr>
      </w:pPr>
      <w:r w:rsidRPr="00841E8B">
        <w:rPr>
          <w:rFonts w:ascii="inherit" w:eastAsia="Times New Roman" w:hAnsi="inherit" w:cs="Courier New"/>
          <w:color w:val="222222"/>
          <w:sz w:val="24"/>
          <w:szCs w:val="24"/>
          <w:lang w:val="en" w:eastAsia="en-GB"/>
        </w:rPr>
        <w:t xml:space="preserve">Almost a year and a half now. Much has passed since the entry of </w:t>
      </w:r>
      <w:proofErr w:type="spellStart"/>
      <w:r w:rsidRPr="00841E8B">
        <w:rPr>
          <w:rFonts w:ascii="inherit" w:eastAsia="Times New Roman" w:hAnsi="inherit" w:cs="Courier New"/>
          <w:color w:val="222222"/>
          <w:sz w:val="24"/>
          <w:szCs w:val="24"/>
          <w:lang w:val="en" w:eastAsia="en-GB"/>
        </w:rPr>
        <w:t>Mifid</w:t>
      </w:r>
      <w:proofErr w:type="spellEnd"/>
      <w:r w:rsidRPr="00841E8B">
        <w:rPr>
          <w:rFonts w:ascii="inherit" w:eastAsia="Times New Roman" w:hAnsi="inherit" w:cs="Courier New"/>
          <w:color w:val="222222"/>
          <w:sz w:val="24"/>
          <w:szCs w:val="24"/>
          <w:lang w:val="en" w:eastAsia="en-GB"/>
        </w:rPr>
        <w:t xml:space="preserve"> 2, whose impacts on the world of investments still remain to be assessed, when customers are starting to receive the expected (and feared) prospectuses on costs related to commissions on savings products. However, some certainty is already beginning to appear in a collateral aspect, but not less important: financial research has suffered a setback, in Italy as in other European countries, also due to the introduction of the directive. In eighteen </w:t>
      </w:r>
      <w:proofErr w:type="gramStart"/>
      <w:r w:rsidRPr="00841E8B">
        <w:rPr>
          <w:rFonts w:ascii="inherit" w:eastAsia="Times New Roman" w:hAnsi="inherit" w:cs="Courier New"/>
          <w:color w:val="222222"/>
          <w:sz w:val="24"/>
          <w:szCs w:val="24"/>
          <w:lang w:val="en" w:eastAsia="en-GB"/>
        </w:rPr>
        <w:t>months</w:t>
      </w:r>
      <w:proofErr w:type="gramEnd"/>
      <w:r w:rsidRPr="00841E8B">
        <w:rPr>
          <w:rFonts w:ascii="inherit" w:eastAsia="Times New Roman" w:hAnsi="inherit" w:cs="Courier New"/>
          <w:color w:val="222222"/>
          <w:sz w:val="24"/>
          <w:szCs w:val="24"/>
          <w:lang w:val="en" w:eastAsia="en-GB"/>
        </w:rPr>
        <w:t xml:space="preserve"> the number of analysts has decreased, that of published reports and in general the coverage on companies listed on Piazza </w:t>
      </w:r>
      <w:proofErr w:type="spellStart"/>
      <w:r w:rsidRPr="00841E8B">
        <w:rPr>
          <w:rFonts w:ascii="inherit" w:eastAsia="Times New Roman" w:hAnsi="inherit" w:cs="Courier New"/>
          <w:color w:val="222222"/>
          <w:sz w:val="24"/>
          <w:szCs w:val="24"/>
          <w:lang w:val="en" w:eastAsia="en-GB"/>
        </w:rPr>
        <w:t>Affari</w:t>
      </w:r>
      <w:proofErr w:type="spellEnd"/>
      <w:r w:rsidRPr="00841E8B">
        <w:rPr>
          <w:rFonts w:ascii="inherit" w:eastAsia="Times New Roman" w:hAnsi="inherit" w:cs="Courier New"/>
          <w:color w:val="222222"/>
          <w:sz w:val="24"/>
          <w:szCs w:val="24"/>
          <w:lang w:val="en" w:eastAsia="en-GB"/>
        </w:rPr>
        <w:t xml:space="preserve"> has decreased.</w:t>
      </w:r>
    </w:p>
    <w:p w14:paraId="0602CCF5" w14:textId="77777777" w:rsidR="00841E8B" w:rsidRPr="00841E8B" w:rsidRDefault="00841E8B" w:rsidP="00841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lang w:eastAsia="en-GB"/>
        </w:rPr>
      </w:pPr>
    </w:p>
    <w:p w14:paraId="166E94CC" w14:textId="347D89B4" w:rsidR="00841E8B" w:rsidRDefault="00841E8B" w:rsidP="00841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lang w:val="en" w:eastAsia="en-GB"/>
        </w:rPr>
      </w:pPr>
      <w:r w:rsidRPr="00841E8B">
        <w:rPr>
          <w:rFonts w:ascii="inherit" w:eastAsia="Times New Roman" w:hAnsi="inherit" w:cs="Courier New"/>
          <w:color w:val="222222"/>
          <w:sz w:val="24"/>
          <w:szCs w:val="24"/>
          <w:lang w:val="en" w:eastAsia="en-GB"/>
        </w:rPr>
        <w:t xml:space="preserve">The evidence of a phenomenon that does not surprise professionals is in the numbers of a study that </w:t>
      </w:r>
      <w:proofErr w:type="spellStart"/>
      <w:r w:rsidRPr="00841E8B">
        <w:rPr>
          <w:rFonts w:ascii="inherit" w:eastAsia="Times New Roman" w:hAnsi="inherit" w:cs="Courier New"/>
          <w:color w:val="222222"/>
          <w:sz w:val="24"/>
          <w:szCs w:val="24"/>
          <w:lang w:val="en" w:eastAsia="en-GB"/>
        </w:rPr>
        <w:t>Assosim</w:t>
      </w:r>
      <w:proofErr w:type="spellEnd"/>
      <w:r w:rsidRPr="00841E8B">
        <w:rPr>
          <w:rFonts w:ascii="inherit" w:eastAsia="Times New Roman" w:hAnsi="inherit" w:cs="Courier New"/>
          <w:color w:val="222222"/>
          <w:sz w:val="24"/>
          <w:szCs w:val="24"/>
          <w:lang w:val="en" w:eastAsia="en-GB"/>
        </w:rPr>
        <w:t xml:space="preserve">, the association of intermediaries in the financial markets, presents today at the annual general meeting </w:t>
      </w:r>
      <w:proofErr w:type="spellStart"/>
      <w:r w:rsidRPr="00841E8B">
        <w:rPr>
          <w:rFonts w:ascii="inherit" w:eastAsia="Times New Roman" w:hAnsi="inherit" w:cs="Courier New"/>
          <w:color w:val="222222"/>
          <w:sz w:val="24"/>
          <w:szCs w:val="24"/>
          <w:lang w:val="en" w:eastAsia="en-GB"/>
        </w:rPr>
        <w:t>Icsa</w:t>
      </w:r>
      <w:proofErr w:type="spellEnd"/>
      <w:r w:rsidRPr="00841E8B">
        <w:rPr>
          <w:rFonts w:ascii="inherit" w:eastAsia="Times New Roman" w:hAnsi="inherit" w:cs="Courier New"/>
          <w:color w:val="222222"/>
          <w:sz w:val="24"/>
          <w:szCs w:val="24"/>
          <w:lang w:val="en" w:eastAsia="en-GB"/>
        </w:rPr>
        <w:t xml:space="preserve"> (International Council of Securities Associations, federation that brings together the main world trade associations). In the face of a number of analysts covering Italian stocks down 8.8% from 480 units in 2017 to 438 in 2018, which "will bring with it in the long run a loss of professional skills essential for the development of the financial market", in fact, there is a consequent decrease in the volume of fundamental research.</w:t>
      </w:r>
    </w:p>
    <w:p w14:paraId="4F1888CB" w14:textId="77777777" w:rsidR="00841E8B" w:rsidRPr="00841E8B" w:rsidRDefault="00841E8B" w:rsidP="00841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lang w:val="en" w:eastAsia="en-GB"/>
        </w:rPr>
      </w:pPr>
    </w:p>
    <w:p w14:paraId="2B4F2430" w14:textId="3185A8D5" w:rsidR="00841E8B" w:rsidRPr="00841E8B" w:rsidRDefault="00841E8B" w:rsidP="00841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lang w:val="en" w:eastAsia="en-GB"/>
        </w:rPr>
      </w:pPr>
      <w:r w:rsidRPr="00841E8B">
        <w:rPr>
          <w:rFonts w:ascii="inherit" w:eastAsia="Times New Roman" w:hAnsi="inherit" w:cs="Courier New"/>
          <w:color w:val="222222"/>
          <w:sz w:val="24"/>
          <w:szCs w:val="24"/>
          <w:lang w:val="en" w:eastAsia="en-GB"/>
        </w:rPr>
        <w:t xml:space="preserve">The phenomenon apparently involves mainly the blue chips, given that the drop in report production in the last year was in this case equal to 11.45% if referring to </w:t>
      </w:r>
      <w:r w:rsidRPr="00841E8B">
        <w:rPr>
          <w:rFonts w:ascii="inherit" w:eastAsia="Times New Roman" w:hAnsi="inherit" w:cs="Courier New"/>
          <w:color w:val="222222"/>
          <w:sz w:val="24"/>
          <w:szCs w:val="24"/>
          <w:lang w:val="en" w:eastAsia="en-GB"/>
        </w:rPr>
        <w:lastRenderedPageBreak/>
        <w:t xml:space="preserve">national brokers and 6.52% when considering foreigners, against an average reduction which stopped at 4.69% for the entire list. However, </w:t>
      </w:r>
      <w:proofErr w:type="gramStart"/>
      <w:r w:rsidRPr="00841E8B">
        <w:rPr>
          <w:rFonts w:ascii="inherit" w:eastAsia="Times New Roman" w:hAnsi="inherit" w:cs="Courier New"/>
          <w:color w:val="222222"/>
          <w:sz w:val="24"/>
          <w:szCs w:val="24"/>
          <w:lang w:val="en" w:eastAsia="en-GB"/>
        </w:rPr>
        <w:t>in reality it</w:t>
      </w:r>
      <w:proofErr w:type="gramEnd"/>
      <w:r w:rsidRPr="00841E8B">
        <w:rPr>
          <w:rFonts w:ascii="inherit" w:eastAsia="Times New Roman" w:hAnsi="inherit" w:cs="Courier New"/>
          <w:color w:val="222222"/>
          <w:sz w:val="24"/>
          <w:szCs w:val="24"/>
          <w:lang w:val="en" w:eastAsia="en-GB"/>
        </w:rPr>
        <w:t xml:space="preserve"> becomes much more relevant (and dangerous) for small and mid caps, towards which research remains in fact residual and, with the exception of the Star segment, almost exclusively the prerogative of Italian actors.</w:t>
      </w:r>
    </w:p>
    <w:p w14:paraId="6FAAD382" w14:textId="77777777" w:rsidR="00841E8B" w:rsidRPr="00841E8B" w:rsidRDefault="00841E8B" w:rsidP="00841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lang w:val="en" w:eastAsia="en-GB"/>
        </w:rPr>
      </w:pPr>
    </w:p>
    <w:p w14:paraId="162C0342" w14:textId="5C2B5668" w:rsidR="00841E8B" w:rsidRPr="00841E8B" w:rsidRDefault="00841E8B" w:rsidP="00841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lang w:val="en" w:eastAsia="en-GB"/>
        </w:rPr>
      </w:pPr>
      <w:r w:rsidRPr="00841E8B">
        <w:rPr>
          <w:rFonts w:ascii="inherit" w:eastAsia="Times New Roman" w:hAnsi="inherit" w:cs="Courier New"/>
          <w:color w:val="222222"/>
          <w:sz w:val="24"/>
          <w:szCs w:val="24"/>
          <w:lang w:val="en" w:eastAsia="en-GB"/>
        </w:rPr>
        <w:t xml:space="preserve">The </w:t>
      </w:r>
      <w:proofErr w:type="spellStart"/>
      <w:r w:rsidRPr="00841E8B">
        <w:rPr>
          <w:rFonts w:ascii="inherit" w:eastAsia="Times New Roman" w:hAnsi="inherit" w:cs="Courier New"/>
          <w:color w:val="222222"/>
          <w:sz w:val="24"/>
          <w:szCs w:val="24"/>
          <w:lang w:val="en" w:eastAsia="en-GB"/>
        </w:rPr>
        <w:t>Assosim</w:t>
      </w:r>
      <w:proofErr w:type="spellEnd"/>
      <w:r w:rsidRPr="00841E8B">
        <w:rPr>
          <w:rFonts w:ascii="inherit" w:eastAsia="Times New Roman" w:hAnsi="inherit" w:cs="Courier New"/>
          <w:color w:val="222222"/>
          <w:sz w:val="24"/>
          <w:szCs w:val="24"/>
          <w:lang w:val="en" w:eastAsia="en-GB"/>
        </w:rPr>
        <w:t xml:space="preserve"> study shows in fact how the number of studies dedicated to the "small" ones in Piazza </w:t>
      </w:r>
      <w:proofErr w:type="spellStart"/>
      <w:r w:rsidRPr="00841E8B">
        <w:rPr>
          <w:rFonts w:ascii="inherit" w:eastAsia="Times New Roman" w:hAnsi="inherit" w:cs="Courier New"/>
          <w:color w:val="222222"/>
          <w:sz w:val="24"/>
          <w:szCs w:val="24"/>
          <w:lang w:val="en" w:eastAsia="en-GB"/>
        </w:rPr>
        <w:t>Affari</w:t>
      </w:r>
      <w:proofErr w:type="spellEnd"/>
      <w:r w:rsidRPr="00841E8B">
        <w:rPr>
          <w:rFonts w:ascii="inherit" w:eastAsia="Times New Roman" w:hAnsi="inherit" w:cs="Courier New"/>
          <w:color w:val="222222"/>
          <w:sz w:val="24"/>
          <w:szCs w:val="24"/>
          <w:lang w:val="en" w:eastAsia="en-GB"/>
        </w:rPr>
        <w:t xml:space="preserve"> continues to be less than 10% of the total and the story becomes more and more evident when considering Aim Italia, a segment in which the number of reports, although marginally growing, it barely manages to exceed 2 percent. Even more serious, in this respect, is the fact that in the meantime the number of companies not covered by analysts has increased from 81 to 84.</w:t>
      </w:r>
    </w:p>
    <w:p w14:paraId="059EB677" w14:textId="34CAAF2D" w:rsidR="00841E8B" w:rsidRPr="00841E8B" w:rsidRDefault="00841E8B" w:rsidP="00841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lang w:val="en" w:eastAsia="en-GB"/>
        </w:rPr>
      </w:pPr>
    </w:p>
    <w:p w14:paraId="34B959C5" w14:textId="77777777" w:rsidR="00841E8B" w:rsidRPr="00841E8B" w:rsidRDefault="00841E8B" w:rsidP="00841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lang w:eastAsia="en-GB"/>
        </w:rPr>
      </w:pPr>
      <w:r w:rsidRPr="00841E8B">
        <w:rPr>
          <w:rFonts w:ascii="inherit" w:eastAsia="Times New Roman" w:hAnsi="inherit" w:cs="Courier New"/>
          <w:color w:val="222222"/>
          <w:sz w:val="24"/>
          <w:szCs w:val="24"/>
          <w:lang w:val="en" w:eastAsia="en-GB"/>
        </w:rPr>
        <w:t xml:space="preserve">The question essentially revolves around the issue of costs. Technically, the problem is in fact linked to a concept known in the sector as unbundling, namely the separation of expenses incurred for research carried out on investments. Until a year and a half ago, the latter were "subsidized" by the same customers through the commissions generated through the brokerage and execution of orders, creating a potential conflict of interest for the same manager who could charge more commissions than necessary for finance the same research. The "unpacking" of the costs established by </w:t>
      </w:r>
      <w:proofErr w:type="spellStart"/>
      <w:r w:rsidRPr="00841E8B">
        <w:rPr>
          <w:rFonts w:ascii="inherit" w:eastAsia="Times New Roman" w:hAnsi="inherit" w:cs="Courier New"/>
          <w:color w:val="222222"/>
          <w:sz w:val="24"/>
          <w:szCs w:val="24"/>
          <w:lang w:val="en" w:eastAsia="en-GB"/>
        </w:rPr>
        <w:t>Mifid</w:t>
      </w:r>
      <w:proofErr w:type="spellEnd"/>
      <w:r w:rsidRPr="00841E8B">
        <w:rPr>
          <w:rFonts w:ascii="inherit" w:eastAsia="Times New Roman" w:hAnsi="inherit" w:cs="Courier New"/>
          <w:color w:val="222222"/>
          <w:sz w:val="24"/>
          <w:szCs w:val="24"/>
          <w:lang w:val="en" w:eastAsia="en-GB"/>
        </w:rPr>
        <w:t xml:space="preserve"> 2 has certainly favored greater transparency, at the same time, however, has ended up putting the sticks in the wheels of those who have decided to take on the new charges without passing them on to customers, and the results are those described above : research budgets have been drastically reduced, not only in Italy.</w:t>
      </w:r>
    </w:p>
    <w:p w14:paraId="5EAF10CF" w14:textId="77777777" w:rsidR="00841E8B" w:rsidRPr="00841E8B" w:rsidRDefault="00841E8B" w:rsidP="00841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lang w:eastAsia="en-GB"/>
        </w:rPr>
      </w:pPr>
    </w:p>
    <w:sectPr w:rsidR="00841E8B" w:rsidRPr="00841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5F9C"/>
    <w:multiLevelType w:val="multilevel"/>
    <w:tmpl w:val="4C4C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83274"/>
    <w:multiLevelType w:val="multilevel"/>
    <w:tmpl w:val="6DC0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72326"/>
    <w:multiLevelType w:val="multilevel"/>
    <w:tmpl w:val="604E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75632"/>
    <w:multiLevelType w:val="multilevel"/>
    <w:tmpl w:val="F6D2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7566E"/>
    <w:multiLevelType w:val="multilevel"/>
    <w:tmpl w:val="05B68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62B3A"/>
    <w:multiLevelType w:val="multilevel"/>
    <w:tmpl w:val="3A72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18"/>
    <w:rsid w:val="000D46C1"/>
    <w:rsid w:val="002435BA"/>
    <w:rsid w:val="006B7549"/>
    <w:rsid w:val="00841E8B"/>
    <w:rsid w:val="00963939"/>
    <w:rsid w:val="00C940B4"/>
    <w:rsid w:val="00D22818"/>
    <w:rsid w:val="00F42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1E3F"/>
  <w15:chartTrackingRefBased/>
  <w15:docId w15:val="{051DD9C6-6411-4038-9CE1-999D5BFD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2906">
      <w:bodyDiv w:val="1"/>
      <w:marLeft w:val="0"/>
      <w:marRight w:val="0"/>
      <w:marTop w:val="0"/>
      <w:marBottom w:val="0"/>
      <w:divBdr>
        <w:top w:val="none" w:sz="0" w:space="0" w:color="auto"/>
        <w:left w:val="none" w:sz="0" w:space="0" w:color="auto"/>
        <w:bottom w:val="none" w:sz="0" w:space="0" w:color="auto"/>
        <w:right w:val="none" w:sz="0" w:space="0" w:color="auto"/>
      </w:divBdr>
    </w:div>
    <w:div w:id="1492600978">
      <w:bodyDiv w:val="1"/>
      <w:marLeft w:val="0"/>
      <w:marRight w:val="0"/>
      <w:marTop w:val="0"/>
      <w:marBottom w:val="0"/>
      <w:divBdr>
        <w:top w:val="none" w:sz="0" w:space="0" w:color="auto"/>
        <w:left w:val="none" w:sz="0" w:space="0" w:color="auto"/>
        <w:bottom w:val="none" w:sz="0" w:space="0" w:color="auto"/>
        <w:right w:val="none" w:sz="0" w:space="0" w:color="auto"/>
      </w:divBdr>
    </w:div>
    <w:div w:id="1565871324">
      <w:bodyDiv w:val="1"/>
      <w:marLeft w:val="0"/>
      <w:marRight w:val="0"/>
      <w:marTop w:val="0"/>
      <w:marBottom w:val="0"/>
      <w:divBdr>
        <w:top w:val="none" w:sz="0" w:space="0" w:color="auto"/>
        <w:left w:val="none" w:sz="0" w:space="0" w:color="auto"/>
        <w:bottom w:val="none" w:sz="0" w:space="0" w:color="auto"/>
        <w:right w:val="none" w:sz="0" w:space="0" w:color="auto"/>
      </w:divBdr>
    </w:div>
    <w:div w:id="1754739855">
      <w:bodyDiv w:val="1"/>
      <w:marLeft w:val="0"/>
      <w:marRight w:val="0"/>
      <w:marTop w:val="0"/>
      <w:marBottom w:val="0"/>
      <w:divBdr>
        <w:top w:val="none" w:sz="0" w:space="0" w:color="auto"/>
        <w:left w:val="none" w:sz="0" w:space="0" w:color="auto"/>
        <w:bottom w:val="none" w:sz="0" w:space="0" w:color="auto"/>
        <w:right w:val="none" w:sz="0" w:space="0" w:color="auto"/>
      </w:divBdr>
    </w:div>
    <w:div w:id="1854175802">
      <w:bodyDiv w:val="1"/>
      <w:marLeft w:val="0"/>
      <w:marRight w:val="0"/>
      <w:marTop w:val="0"/>
      <w:marBottom w:val="0"/>
      <w:divBdr>
        <w:top w:val="none" w:sz="0" w:space="0" w:color="auto"/>
        <w:left w:val="none" w:sz="0" w:space="0" w:color="auto"/>
        <w:bottom w:val="none" w:sz="0" w:space="0" w:color="auto"/>
        <w:right w:val="none" w:sz="0" w:space="0" w:color="auto"/>
      </w:divBdr>
      <w:divsChild>
        <w:div w:id="111440283">
          <w:marLeft w:val="0"/>
          <w:marRight w:val="0"/>
          <w:marTop w:val="0"/>
          <w:marBottom w:val="0"/>
          <w:divBdr>
            <w:top w:val="none" w:sz="0" w:space="0" w:color="auto"/>
            <w:left w:val="none" w:sz="0" w:space="0" w:color="auto"/>
            <w:bottom w:val="none" w:sz="0" w:space="0" w:color="auto"/>
            <w:right w:val="none" w:sz="0" w:space="0" w:color="auto"/>
          </w:divBdr>
          <w:divsChild>
            <w:div w:id="1417286861">
              <w:marLeft w:val="0"/>
              <w:marRight w:val="0"/>
              <w:marTop w:val="0"/>
              <w:marBottom w:val="0"/>
              <w:divBdr>
                <w:top w:val="none" w:sz="0" w:space="0" w:color="auto"/>
                <w:left w:val="none" w:sz="0" w:space="0" w:color="auto"/>
                <w:bottom w:val="none" w:sz="0" w:space="0" w:color="auto"/>
                <w:right w:val="none" w:sz="0" w:space="0" w:color="auto"/>
              </w:divBdr>
              <w:divsChild>
                <w:div w:id="879247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4980958">
          <w:marLeft w:val="0"/>
          <w:marRight w:val="0"/>
          <w:marTop w:val="0"/>
          <w:marBottom w:val="0"/>
          <w:divBdr>
            <w:top w:val="none" w:sz="0" w:space="0" w:color="auto"/>
            <w:left w:val="none" w:sz="0" w:space="0" w:color="auto"/>
            <w:bottom w:val="none" w:sz="0" w:space="0" w:color="auto"/>
            <w:right w:val="none" w:sz="0" w:space="0" w:color="auto"/>
          </w:divBdr>
          <w:divsChild>
            <w:div w:id="1655067239">
              <w:marLeft w:val="-225"/>
              <w:marRight w:val="-225"/>
              <w:marTop w:val="0"/>
              <w:marBottom w:val="0"/>
              <w:divBdr>
                <w:top w:val="none" w:sz="0" w:space="0" w:color="auto"/>
                <w:left w:val="none" w:sz="0" w:space="0" w:color="auto"/>
                <w:bottom w:val="none" w:sz="0" w:space="0" w:color="auto"/>
                <w:right w:val="none" w:sz="0" w:space="0" w:color="auto"/>
              </w:divBdr>
              <w:divsChild>
                <w:div w:id="284582973">
                  <w:marLeft w:val="0"/>
                  <w:marRight w:val="0"/>
                  <w:marTop w:val="0"/>
                  <w:marBottom w:val="0"/>
                  <w:divBdr>
                    <w:top w:val="none" w:sz="0" w:space="0" w:color="auto"/>
                    <w:left w:val="none" w:sz="0" w:space="0" w:color="auto"/>
                    <w:bottom w:val="none" w:sz="0" w:space="0" w:color="auto"/>
                    <w:right w:val="none" w:sz="0" w:space="0" w:color="auto"/>
                  </w:divBdr>
                  <w:divsChild>
                    <w:div w:id="1794328551">
                      <w:marLeft w:val="0"/>
                      <w:marRight w:val="0"/>
                      <w:marTop w:val="0"/>
                      <w:marBottom w:val="0"/>
                      <w:divBdr>
                        <w:top w:val="none" w:sz="0" w:space="0" w:color="auto"/>
                        <w:left w:val="none" w:sz="0" w:space="0" w:color="auto"/>
                        <w:bottom w:val="none" w:sz="0" w:space="0" w:color="auto"/>
                        <w:right w:val="none" w:sz="0" w:space="0" w:color="auto"/>
                      </w:divBdr>
                      <w:divsChild>
                        <w:div w:id="20014218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280442">
                  <w:marLeft w:val="0"/>
                  <w:marRight w:val="0"/>
                  <w:marTop w:val="0"/>
                  <w:marBottom w:val="0"/>
                  <w:divBdr>
                    <w:top w:val="none" w:sz="0" w:space="0" w:color="auto"/>
                    <w:left w:val="none" w:sz="0" w:space="0" w:color="auto"/>
                    <w:bottom w:val="none" w:sz="0" w:space="0" w:color="auto"/>
                    <w:right w:val="none" w:sz="0" w:space="0" w:color="auto"/>
                  </w:divBdr>
                  <w:divsChild>
                    <w:div w:id="306858945">
                      <w:marLeft w:val="0"/>
                      <w:marRight w:val="0"/>
                      <w:marTop w:val="0"/>
                      <w:marBottom w:val="0"/>
                      <w:divBdr>
                        <w:top w:val="none" w:sz="0" w:space="0" w:color="auto"/>
                        <w:left w:val="none" w:sz="0" w:space="0" w:color="auto"/>
                        <w:bottom w:val="none" w:sz="0" w:space="0" w:color="auto"/>
                        <w:right w:val="none" w:sz="0" w:space="0" w:color="auto"/>
                      </w:divBdr>
                      <w:divsChild>
                        <w:div w:id="337271989">
                          <w:marLeft w:val="0"/>
                          <w:marRight w:val="0"/>
                          <w:marTop w:val="0"/>
                          <w:marBottom w:val="150"/>
                          <w:divBdr>
                            <w:top w:val="none" w:sz="0" w:space="0" w:color="auto"/>
                            <w:left w:val="none" w:sz="0" w:space="0" w:color="auto"/>
                            <w:bottom w:val="none" w:sz="0" w:space="0" w:color="auto"/>
                            <w:right w:val="none" w:sz="0" w:space="0" w:color="auto"/>
                          </w:divBdr>
                        </w:div>
                        <w:div w:id="526674121">
                          <w:marLeft w:val="0"/>
                          <w:marRight w:val="0"/>
                          <w:marTop w:val="0"/>
                          <w:marBottom w:val="0"/>
                          <w:divBdr>
                            <w:top w:val="none" w:sz="0" w:space="0" w:color="auto"/>
                            <w:left w:val="none" w:sz="0" w:space="0" w:color="auto"/>
                            <w:bottom w:val="none" w:sz="0" w:space="0" w:color="auto"/>
                            <w:right w:val="none" w:sz="0" w:space="0" w:color="auto"/>
                          </w:divBdr>
                        </w:div>
                      </w:divsChild>
                    </w:div>
                    <w:div w:id="2122648840">
                      <w:marLeft w:val="0"/>
                      <w:marRight w:val="0"/>
                      <w:marTop w:val="0"/>
                      <w:marBottom w:val="0"/>
                      <w:divBdr>
                        <w:top w:val="none" w:sz="0" w:space="0" w:color="auto"/>
                        <w:left w:val="none" w:sz="0" w:space="0" w:color="auto"/>
                        <w:bottom w:val="none" w:sz="0" w:space="0" w:color="auto"/>
                        <w:right w:val="none" w:sz="0" w:space="0" w:color="auto"/>
                      </w:divBdr>
                      <w:divsChild>
                        <w:div w:id="850031054">
                          <w:marLeft w:val="0"/>
                          <w:marRight w:val="0"/>
                          <w:marTop w:val="0"/>
                          <w:marBottom w:val="150"/>
                          <w:divBdr>
                            <w:top w:val="none" w:sz="0" w:space="0" w:color="auto"/>
                            <w:left w:val="none" w:sz="0" w:space="0" w:color="auto"/>
                            <w:bottom w:val="none" w:sz="0" w:space="0" w:color="auto"/>
                            <w:right w:val="none" w:sz="0" w:space="0" w:color="auto"/>
                          </w:divBdr>
                        </w:div>
                        <w:div w:id="6725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0354">
                  <w:marLeft w:val="0"/>
                  <w:marRight w:val="0"/>
                  <w:marTop w:val="0"/>
                  <w:marBottom w:val="0"/>
                  <w:divBdr>
                    <w:top w:val="none" w:sz="0" w:space="0" w:color="auto"/>
                    <w:left w:val="none" w:sz="0" w:space="0" w:color="auto"/>
                    <w:bottom w:val="none" w:sz="0" w:space="0" w:color="auto"/>
                    <w:right w:val="none" w:sz="0" w:space="0" w:color="auto"/>
                  </w:divBdr>
                  <w:divsChild>
                    <w:div w:id="324865125">
                      <w:marLeft w:val="0"/>
                      <w:marRight w:val="0"/>
                      <w:marTop w:val="0"/>
                      <w:marBottom w:val="300"/>
                      <w:divBdr>
                        <w:top w:val="none" w:sz="0" w:space="0" w:color="auto"/>
                        <w:left w:val="none" w:sz="0" w:space="0" w:color="auto"/>
                        <w:bottom w:val="none" w:sz="0" w:space="0" w:color="auto"/>
                        <w:right w:val="none" w:sz="0" w:space="0" w:color="auto"/>
                      </w:divBdr>
                      <w:divsChild>
                        <w:div w:id="727143322">
                          <w:marLeft w:val="0"/>
                          <w:marRight w:val="0"/>
                          <w:marTop w:val="0"/>
                          <w:marBottom w:val="0"/>
                          <w:divBdr>
                            <w:top w:val="none" w:sz="0" w:space="0" w:color="auto"/>
                            <w:left w:val="none" w:sz="0" w:space="0" w:color="auto"/>
                            <w:bottom w:val="none" w:sz="0" w:space="0" w:color="auto"/>
                            <w:right w:val="none" w:sz="0" w:space="0" w:color="auto"/>
                          </w:divBdr>
                          <w:divsChild>
                            <w:div w:id="70667457">
                              <w:marLeft w:val="0"/>
                              <w:marRight w:val="0"/>
                              <w:marTop w:val="0"/>
                              <w:marBottom w:val="0"/>
                              <w:divBdr>
                                <w:top w:val="none" w:sz="0" w:space="0" w:color="auto"/>
                                <w:left w:val="none" w:sz="0" w:space="0" w:color="auto"/>
                                <w:bottom w:val="none" w:sz="0" w:space="0" w:color="auto"/>
                                <w:right w:val="none" w:sz="0" w:space="0" w:color="auto"/>
                              </w:divBdr>
                            </w:div>
                          </w:divsChild>
                        </w:div>
                        <w:div w:id="1527405029">
                          <w:marLeft w:val="0"/>
                          <w:marRight w:val="0"/>
                          <w:marTop w:val="0"/>
                          <w:marBottom w:val="0"/>
                          <w:divBdr>
                            <w:top w:val="none" w:sz="0" w:space="0" w:color="auto"/>
                            <w:left w:val="none" w:sz="0" w:space="0" w:color="auto"/>
                            <w:bottom w:val="none" w:sz="0" w:space="0" w:color="auto"/>
                            <w:right w:val="none" w:sz="0" w:space="0" w:color="auto"/>
                          </w:divBdr>
                          <w:divsChild>
                            <w:div w:id="1531067782">
                              <w:marLeft w:val="0"/>
                              <w:marRight w:val="0"/>
                              <w:marTop w:val="0"/>
                              <w:marBottom w:val="0"/>
                              <w:divBdr>
                                <w:top w:val="none" w:sz="0" w:space="0" w:color="auto"/>
                                <w:left w:val="none" w:sz="0" w:space="0" w:color="auto"/>
                                <w:bottom w:val="none" w:sz="0" w:space="0" w:color="auto"/>
                                <w:right w:val="none" w:sz="0" w:space="0" w:color="auto"/>
                              </w:divBdr>
                            </w:div>
                          </w:divsChild>
                        </w:div>
                        <w:div w:id="1293487839">
                          <w:marLeft w:val="0"/>
                          <w:marRight w:val="0"/>
                          <w:marTop w:val="0"/>
                          <w:marBottom w:val="0"/>
                          <w:divBdr>
                            <w:top w:val="none" w:sz="0" w:space="0" w:color="auto"/>
                            <w:left w:val="none" w:sz="0" w:space="0" w:color="auto"/>
                            <w:bottom w:val="none" w:sz="0" w:space="0" w:color="auto"/>
                            <w:right w:val="none" w:sz="0" w:space="0" w:color="auto"/>
                          </w:divBdr>
                          <w:divsChild>
                            <w:div w:id="1500344924">
                              <w:marLeft w:val="0"/>
                              <w:marRight w:val="0"/>
                              <w:marTop w:val="0"/>
                              <w:marBottom w:val="0"/>
                              <w:divBdr>
                                <w:top w:val="none" w:sz="0" w:space="0" w:color="auto"/>
                                <w:left w:val="none" w:sz="0" w:space="0" w:color="auto"/>
                                <w:bottom w:val="none" w:sz="0" w:space="0" w:color="auto"/>
                                <w:right w:val="none" w:sz="0" w:space="0" w:color="auto"/>
                              </w:divBdr>
                            </w:div>
                          </w:divsChild>
                        </w:div>
                        <w:div w:id="142738322">
                          <w:marLeft w:val="0"/>
                          <w:marRight w:val="0"/>
                          <w:marTop w:val="0"/>
                          <w:marBottom w:val="0"/>
                          <w:divBdr>
                            <w:top w:val="none" w:sz="0" w:space="0" w:color="auto"/>
                            <w:left w:val="none" w:sz="0" w:space="0" w:color="auto"/>
                            <w:bottom w:val="none" w:sz="0" w:space="0" w:color="auto"/>
                            <w:right w:val="none" w:sz="0" w:space="0" w:color="auto"/>
                          </w:divBdr>
                          <w:divsChild>
                            <w:div w:id="2120027237">
                              <w:marLeft w:val="0"/>
                              <w:marRight w:val="0"/>
                              <w:marTop w:val="0"/>
                              <w:marBottom w:val="0"/>
                              <w:divBdr>
                                <w:top w:val="none" w:sz="0" w:space="0" w:color="auto"/>
                                <w:left w:val="none" w:sz="0" w:space="0" w:color="auto"/>
                                <w:bottom w:val="none" w:sz="0" w:space="0" w:color="auto"/>
                                <w:right w:val="none" w:sz="0" w:space="0" w:color="auto"/>
                              </w:divBdr>
                            </w:div>
                          </w:divsChild>
                        </w:div>
                        <w:div w:id="145973409">
                          <w:marLeft w:val="0"/>
                          <w:marRight w:val="0"/>
                          <w:marTop w:val="0"/>
                          <w:marBottom w:val="0"/>
                          <w:divBdr>
                            <w:top w:val="none" w:sz="0" w:space="0" w:color="auto"/>
                            <w:left w:val="none" w:sz="0" w:space="0" w:color="auto"/>
                            <w:bottom w:val="none" w:sz="0" w:space="0" w:color="auto"/>
                            <w:right w:val="none" w:sz="0" w:space="0" w:color="auto"/>
                          </w:divBdr>
                          <w:divsChild>
                            <w:div w:id="2983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07136">
          <w:marLeft w:val="-225"/>
          <w:marRight w:val="-225"/>
          <w:marTop w:val="0"/>
          <w:marBottom w:val="0"/>
          <w:divBdr>
            <w:top w:val="none" w:sz="0" w:space="0" w:color="auto"/>
            <w:left w:val="none" w:sz="0" w:space="0" w:color="auto"/>
            <w:bottom w:val="none" w:sz="0" w:space="0" w:color="auto"/>
            <w:right w:val="none" w:sz="0" w:space="0" w:color="auto"/>
          </w:divBdr>
          <w:divsChild>
            <w:div w:id="1588731483">
              <w:marLeft w:val="3150"/>
              <w:marRight w:val="0"/>
              <w:marTop w:val="0"/>
              <w:marBottom w:val="0"/>
              <w:divBdr>
                <w:top w:val="none" w:sz="0" w:space="0" w:color="auto"/>
                <w:left w:val="none" w:sz="0" w:space="0" w:color="auto"/>
                <w:bottom w:val="none" w:sz="0" w:space="0" w:color="auto"/>
                <w:right w:val="none" w:sz="0" w:space="0" w:color="auto"/>
              </w:divBdr>
              <w:divsChild>
                <w:div w:id="1988511151">
                  <w:marLeft w:val="0"/>
                  <w:marRight w:val="0"/>
                  <w:marTop w:val="0"/>
                  <w:marBottom w:val="0"/>
                  <w:divBdr>
                    <w:top w:val="none" w:sz="0" w:space="0" w:color="auto"/>
                    <w:left w:val="none" w:sz="0" w:space="0" w:color="auto"/>
                    <w:bottom w:val="none" w:sz="0" w:space="0" w:color="auto"/>
                    <w:right w:val="none" w:sz="0" w:space="0" w:color="auto"/>
                  </w:divBdr>
                  <w:divsChild>
                    <w:div w:id="1281641417">
                      <w:marLeft w:val="0"/>
                      <w:marRight w:val="0"/>
                      <w:marTop w:val="0"/>
                      <w:marBottom w:val="0"/>
                      <w:divBdr>
                        <w:top w:val="none" w:sz="0" w:space="0" w:color="auto"/>
                        <w:left w:val="none" w:sz="0" w:space="0" w:color="auto"/>
                        <w:bottom w:val="none" w:sz="0" w:space="0" w:color="auto"/>
                        <w:right w:val="none" w:sz="0" w:space="0" w:color="auto"/>
                      </w:divBdr>
                      <w:divsChild>
                        <w:div w:id="923761858">
                          <w:marLeft w:val="0"/>
                          <w:marRight w:val="0"/>
                          <w:marTop w:val="0"/>
                          <w:marBottom w:val="0"/>
                          <w:divBdr>
                            <w:top w:val="none" w:sz="0" w:space="0" w:color="auto"/>
                            <w:left w:val="none" w:sz="0" w:space="0" w:color="auto"/>
                            <w:bottom w:val="none" w:sz="0" w:space="0" w:color="auto"/>
                            <w:right w:val="none" w:sz="0" w:space="0" w:color="auto"/>
                          </w:divBdr>
                          <w:divsChild>
                            <w:div w:id="1449082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ilsole24ore.com/art/scatta-mifid-2-l-europa-dice-stop-casino-finanziari-AEFRtvO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6094</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Il Sole 24 Ore - Milano Finanza</vt:lpstr>
      <vt:lpstr/>
      <vt:lpstr>Mifid2 fa la sua prima vittima: tagliata l’analisi sulle società italiane</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Eisenhardt</dc:creator>
  <cp:keywords/>
  <dc:description/>
  <cp:lastModifiedBy>Peter Eisenhardt</cp:lastModifiedBy>
  <cp:revision>2</cp:revision>
  <dcterms:created xsi:type="dcterms:W3CDTF">2019-12-27T16:55:00Z</dcterms:created>
  <dcterms:modified xsi:type="dcterms:W3CDTF">2020-06-06T08:36:00Z</dcterms:modified>
</cp:coreProperties>
</file>