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CE8" w:rsidRDefault="00504CE8"/>
    <w:p w:rsidR="00574317" w:rsidRPr="00574317" w:rsidRDefault="00FD4BD6" w:rsidP="00864ADC">
      <w:pPr>
        <w:jc w:val="center"/>
        <w:rPr>
          <w:b/>
          <w:color w:val="2E74B5" w:themeColor="accent1" w:themeShade="BF"/>
          <w:sz w:val="8"/>
          <w:szCs w:val="8"/>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25400</wp:posOffset>
            </wp:positionV>
            <wp:extent cx="4754245" cy="55626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A Logo.jpg"/>
                    <pic:cNvPicPr/>
                  </pic:nvPicPr>
                  <pic:blipFill>
                    <a:blip r:embed="rId6">
                      <a:extLst>
                        <a:ext uri="{28A0092B-C50C-407E-A947-70E740481C1C}">
                          <a14:useLocalDpi xmlns:a14="http://schemas.microsoft.com/office/drawing/2010/main" val="0"/>
                        </a:ext>
                      </a:extLst>
                    </a:blip>
                    <a:stretch>
                      <a:fillRect/>
                    </a:stretch>
                  </pic:blipFill>
                  <pic:spPr>
                    <a:xfrm>
                      <a:off x="0" y="0"/>
                      <a:ext cx="4754245" cy="556260"/>
                    </a:xfrm>
                    <a:prstGeom prst="rect">
                      <a:avLst/>
                    </a:prstGeom>
                  </pic:spPr>
                </pic:pic>
              </a:graphicData>
            </a:graphic>
            <wp14:sizeRelH relativeFrom="margin">
              <wp14:pctWidth>0</wp14:pctWidth>
            </wp14:sizeRelH>
            <wp14:sizeRelV relativeFrom="margin">
              <wp14:pctHeight>0</wp14:pctHeight>
            </wp14:sizeRelV>
          </wp:anchor>
        </w:drawing>
      </w:r>
    </w:p>
    <w:p w:rsidR="00352BF5" w:rsidRDefault="00352BF5" w:rsidP="003F7B94">
      <w:pPr>
        <w:rPr>
          <w:b/>
          <w:color w:val="FF0000"/>
          <w:sz w:val="24"/>
          <w:szCs w:val="24"/>
        </w:rPr>
      </w:pPr>
    </w:p>
    <w:p w:rsidR="00586455" w:rsidRPr="003B72F1" w:rsidRDefault="00586455" w:rsidP="00D4694F">
      <w:pPr>
        <w:rPr>
          <w:b/>
          <w:color w:val="FF0000"/>
          <w:sz w:val="24"/>
          <w:szCs w:val="24"/>
        </w:rPr>
      </w:pPr>
      <w:bookmarkStart w:id="0" w:name="_GoBack"/>
      <w:bookmarkEnd w:id="0"/>
    </w:p>
    <w:p w:rsidR="00B827A7" w:rsidRPr="005A3D88" w:rsidRDefault="00586455" w:rsidP="00B827A7">
      <w:pPr>
        <w:jc w:val="center"/>
        <w:rPr>
          <w:b/>
          <w:color w:val="2F5496" w:themeColor="accent5" w:themeShade="BF"/>
          <w:sz w:val="40"/>
          <w:szCs w:val="40"/>
        </w:rPr>
      </w:pPr>
      <w:r w:rsidRPr="005A3D88">
        <w:rPr>
          <w:b/>
          <w:color w:val="2F5496" w:themeColor="accent5" w:themeShade="BF"/>
          <w:sz w:val="40"/>
          <w:szCs w:val="40"/>
        </w:rPr>
        <w:t>INTEREST RATE BENCHMARKS</w:t>
      </w:r>
    </w:p>
    <w:p w:rsidR="00586455" w:rsidRPr="005A3D88" w:rsidRDefault="00E721D4" w:rsidP="00B827A7">
      <w:pPr>
        <w:jc w:val="center"/>
        <w:rPr>
          <w:b/>
          <w:i/>
          <w:color w:val="2F5496" w:themeColor="accent5" w:themeShade="BF"/>
          <w:sz w:val="40"/>
          <w:szCs w:val="40"/>
        </w:rPr>
      </w:pPr>
      <w:r w:rsidRPr="005A3D88">
        <w:rPr>
          <w:b/>
          <w:i/>
          <w:color w:val="2F5496" w:themeColor="accent5" w:themeShade="BF"/>
          <w:sz w:val="40"/>
          <w:szCs w:val="40"/>
        </w:rPr>
        <w:t xml:space="preserve">Global </w:t>
      </w:r>
      <w:r w:rsidR="006A2814" w:rsidRPr="005A3D88">
        <w:rPr>
          <w:b/>
          <w:i/>
          <w:color w:val="2F5496" w:themeColor="accent5" w:themeShade="BF"/>
          <w:sz w:val="40"/>
          <w:szCs w:val="40"/>
        </w:rPr>
        <w:t>Summary of Reform Initiatives</w:t>
      </w:r>
    </w:p>
    <w:p w:rsidR="006A2814" w:rsidRPr="005A3D88" w:rsidRDefault="006A2814" w:rsidP="006A2814">
      <w:pPr>
        <w:jc w:val="center"/>
        <w:rPr>
          <w:b/>
          <w:i/>
          <w:color w:val="2F5496" w:themeColor="accent5" w:themeShade="BF"/>
          <w:sz w:val="28"/>
          <w:szCs w:val="28"/>
        </w:rPr>
      </w:pPr>
      <w:r w:rsidRPr="005A3D88">
        <w:rPr>
          <w:b/>
          <w:i/>
          <w:color w:val="2F5496" w:themeColor="accent5" w:themeShade="BF"/>
          <w:sz w:val="28"/>
          <w:szCs w:val="28"/>
        </w:rPr>
        <w:t>●</w:t>
      </w:r>
    </w:p>
    <w:p w:rsidR="00E721D4" w:rsidRDefault="00E721D4" w:rsidP="00E721D4">
      <w:pPr>
        <w:rPr>
          <w:color w:val="000000" w:themeColor="text1"/>
        </w:rPr>
      </w:pPr>
      <w:r>
        <w:rPr>
          <w:color w:val="000000" w:themeColor="text1"/>
        </w:rPr>
        <w:t>The Global Financial Crisis expo</w:t>
      </w:r>
      <w:r w:rsidR="00936FFA">
        <w:rPr>
          <w:color w:val="000000" w:themeColor="text1"/>
        </w:rPr>
        <w:t>sed failings in the methodology</w:t>
      </w:r>
      <w:r>
        <w:rPr>
          <w:color w:val="000000" w:themeColor="text1"/>
        </w:rPr>
        <w:t xml:space="preserve"> and use of interest rate benchmarks.  This paper summarises </w:t>
      </w:r>
      <w:r w:rsidR="009B2CD4">
        <w:rPr>
          <w:color w:val="000000" w:themeColor="text1"/>
        </w:rPr>
        <w:t>IOSCO</w:t>
      </w:r>
      <w:r w:rsidR="0091071B">
        <w:rPr>
          <w:color w:val="000000" w:themeColor="text1"/>
        </w:rPr>
        <w:t xml:space="preserve"> and FSB</w:t>
      </w:r>
      <w:r w:rsidR="009B2CD4">
        <w:rPr>
          <w:color w:val="000000" w:themeColor="text1"/>
        </w:rPr>
        <w:t xml:space="preserve"> reform guidance</w:t>
      </w:r>
      <w:r>
        <w:rPr>
          <w:color w:val="000000" w:themeColor="text1"/>
        </w:rPr>
        <w:t xml:space="preserve">, </w:t>
      </w:r>
      <w:r w:rsidR="009B2CD4">
        <w:rPr>
          <w:color w:val="000000" w:themeColor="text1"/>
        </w:rPr>
        <w:t>and initiative</w:t>
      </w:r>
      <w:r w:rsidR="0009604E">
        <w:rPr>
          <w:color w:val="000000" w:themeColor="text1"/>
        </w:rPr>
        <w:t xml:space="preserve">s on LIBOR, EURIBOR, </w:t>
      </w:r>
      <w:r w:rsidR="00E70D9D">
        <w:rPr>
          <w:color w:val="000000" w:themeColor="text1"/>
        </w:rPr>
        <w:t xml:space="preserve">and TIBOR </w:t>
      </w:r>
      <w:r w:rsidR="0009604E">
        <w:rPr>
          <w:color w:val="000000" w:themeColor="text1"/>
        </w:rPr>
        <w:t xml:space="preserve">and in a number of jurisdictions </w:t>
      </w:r>
      <w:r w:rsidR="009B2CD4">
        <w:rPr>
          <w:color w:val="000000" w:themeColor="text1"/>
        </w:rPr>
        <w:t>towards</w:t>
      </w:r>
      <w:r w:rsidR="0091071B">
        <w:rPr>
          <w:color w:val="000000" w:themeColor="text1"/>
        </w:rPr>
        <w:t xml:space="preserve"> solutions</w:t>
      </w:r>
      <w:r w:rsidR="0009604E">
        <w:rPr>
          <w:color w:val="000000" w:themeColor="text1"/>
        </w:rPr>
        <w:t xml:space="preserve">. </w:t>
      </w:r>
    </w:p>
    <w:p w:rsidR="005B148D" w:rsidRDefault="005B148D" w:rsidP="0091071B">
      <w:pPr>
        <w:rPr>
          <w:b/>
          <w:color w:val="2F5496" w:themeColor="accent5" w:themeShade="BF"/>
          <w:sz w:val="28"/>
          <w:szCs w:val="28"/>
        </w:rPr>
      </w:pPr>
    </w:p>
    <w:p w:rsidR="0091071B" w:rsidRDefault="0091071B" w:rsidP="0091071B">
      <w:pPr>
        <w:rPr>
          <w:b/>
          <w:color w:val="2F5496" w:themeColor="accent5" w:themeShade="BF"/>
          <w:sz w:val="28"/>
          <w:szCs w:val="28"/>
        </w:rPr>
      </w:pPr>
      <w:r>
        <w:rPr>
          <w:b/>
          <w:color w:val="2F5496" w:themeColor="accent5" w:themeShade="BF"/>
          <w:sz w:val="28"/>
          <w:szCs w:val="28"/>
        </w:rPr>
        <w:t>IOSCO</w:t>
      </w:r>
    </w:p>
    <w:p w:rsidR="0070647F" w:rsidRDefault="0070647F" w:rsidP="0091071B">
      <w:r>
        <w:t xml:space="preserve">In July 2013, </w:t>
      </w:r>
      <w:r w:rsidR="00CB44F4">
        <w:t xml:space="preserve">IOSCO published </w:t>
      </w:r>
      <w:r w:rsidR="00CB44F4" w:rsidRPr="00CB44F4">
        <w:rPr>
          <w:i/>
        </w:rPr>
        <w:t xml:space="preserve">Principles for Financial Benchmarks </w:t>
      </w:r>
      <w:r w:rsidRPr="00C34311">
        <w:t>which was</w:t>
      </w:r>
      <w:r>
        <w:rPr>
          <w:i/>
        </w:rPr>
        <w:t xml:space="preserve"> </w:t>
      </w:r>
      <w:r>
        <w:t xml:space="preserve">prepared by a task force benefitting </w:t>
      </w:r>
      <w:r w:rsidR="005B148D">
        <w:t xml:space="preserve">from work by other authorities and </w:t>
      </w:r>
      <w:r>
        <w:t>public consultation</w:t>
      </w:r>
      <w:r w:rsidR="00CB44F4" w:rsidRPr="00CB44F4">
        <w:rPr>
          <w:i/>
        </w:rPr>
        <w:t xml:space="preserve"> </w:t>
      </w:r>
      <w:hyperlink r:id="rId7" w:history="1">
        <w:r w:rsidR="00CB44F4" w:rsidRPr="00EB1E51">
          <w:rPr>
            <w:rStyle w:val="Hyperlink"/>
            <w:color w:val="2E74B5" w:themeColor="accent1" w:themeShade="BF"/>
          </w:rPr>
          <w:t>http://www.iosco.org/library/pubdocs/pdf/IOSCOPD415.pdf</w:t>
        </w:r>
      </w:hyperlink>
      <w:r w:rsidR="00CB44F4">
        <w:t xml:space="preserve"> </w:t>
      </w:r>
      <w:r w:rsidRPr="0070647F">
        <w:t>.</w:t>
      </w:r>
      <w:r>
        <w:t xml:space="preserve">  </w:t>
      </w:r>
    </w:p>
    <w:p w:rsidR="0070647F" w:rsidRDefault="0070647F" w:rsidP="0091071B">
      <w:r>
        <w:t xml:space="preserve">The nineteen Principles, endorsed by the G20 and the FSB, set out a framework of standards for benchmark administrators </w:t>
      </w:r>
      <w:r w:rsidR="007F7DE4">
        <w:t xml:space="preserve">and submitters </w:t>
      </w:r>
      <w:r>
        <w:t>which address governance</w:t>
      </w:r>
      <w:r w:rsidR="0013534A">
        <w:t xml:space="preserve"> (administrator accountability, oversight</w:t>
      </w:r>
      <w:r>
        <w:t xml:space="preserve">, </w:t>
      </w:r>
      <w:r w:rsidR="0013534A">
        <w:t>controls</w:t>
      </w:r>
      <w:r w:rsidR="00E61D10">
        <w:t>, compliance</w:t>
      </w:r>
      <w:r w:rsidR="0013534A">
        <w:t xml:space="preserve">), </w:t>
      </w:r>
      <w:r>
        <w:t>quality</w:t>
      </w:r>
      <w:r w:rsidR="0013534A">
        <w:t xml:space="preserve"> (design, data sufficiency, clarity, </w:t>
      </w:r>
      <w:r>
        <w:t>integrity</w:t>
      </w:r>
      <w:r w:rsidR="00E61D10">
        <w:t>), conduct of submitters, and cooperation with regulatory authorities.</w:t>
      </w:r>
    </w:p>
    <w:p w:rsidR="0070647F" w:rsidRDefault="0070647F" w:rsidP="0091071B">
      <w:r>
        <w:t>Included is the call for credi</w:t>
      </w:r>
      <w:r w:rsidR="005B148D">
        <w:t xml:space="preserve">ble transition policies should a benchmark </w:t>
      </w:r>
      <w:r>
        <w:t xml:space="preserve">cease to exist due to </w:t>
      </w:r>
      <w:r w:rsidR="005B148D">
        <w:t>a change in market structure.</w:t>
      </w:r>
    </w:p>
    <w:p w:rsidR="0091071B" w:rsidRPr="0091071B" w:rsidRDefault="00E61D10" w:rsidP="0091071B">
      <w:pPr>
        <w:rPr>
          <w:u w:val="single"/>
        </w:rPr>
      </w:pPr>
      <w:r>
        <w:t>IOSCO followed up with</w:t>
      </w:r>
      <w:r w:rsidR="00CB44F4">
        <w:t xml:space="preserve"> </w:t>
      </w:r>
      <w:r w:rsidR="00CB44F4" w:rsidRPr="00CB44F4">
        <w:rPr>
          <w:i/>
        </w:rPr>
        <w:t>Guidance on the IOSCO Principles for Financial Benchmarks</w:t>
      </w:r>
      <w:r w:rsidR="00CB44F4">
        <w:t xml:space="preserve"> in</w:t>
      </w:r>
      <w:r w:rsidR="00CB44F4">
        <w:rPr>
          <w:i/>
        </w:rPr>
        <w:t xml:space="preserve"> </w:t>
      </w:r>
      <w:r w:rsidR="00CB44F4" w:rsidRPr="00CB44F4">
        <w:t xml:space="preserve">December </w:t>
      </w:r>
      <w:r w:rsidR="00CB44F4">
        <w:t>20</w:t>
      </w:r>
      <w:r w:rsidR="00CB44F4" w:rsidRPr="00CB44F4">
        <w:t>1</w:t>
      </w:r>
      <w:r w:rsidR="00CB44F4">
        <w:t>6</w:t>
      </w:r>
      <w:r w:rsidR="0091071B">
        <w:t>,</w:t>
      </w:r>
      <w:r w:rsidR="007F7DE4">
        <w:t xml:space="preserve"> which uses further study and public consultation to analyse ongoing issues, assess compliance, and offer guidance</w:t>
      </w:r>
      <w:r w:rsidR="0091071B">
        <w:t xml:space="preserve">.  </w:t>
      </w:r>
      <w:hyperlink r:id="rId8" w:history="1">
        <w:r w:rsidRPr="00B22182">
          <w:rPr>
            <w:rStyle w:val="Hyperlink"/>
          </w:rPr>
          <w:t>http://www.iosco.org/library/pubdocs/pdf/IOSCOPD549.pdf</w:t>
        </w:r>
      </w:hyperlink>
      <w:r w:rsidR="007F7DE4">
        <w:t xml:space="preserve"> .</w:t>
      </w:r>
      <w:r>
        <w:t xml:space="preserve"> </w:t>
      </w:r>
    </w:p>
    <w:p w:rsidR="00E61D10" w:rsidRDefault="00E61D10" w:rsidP="00E721D4">
      <w:pPr>
        <w:rPr>
          <w:b/>
          <w:color w:val="2F5496" w:themeColor="accent5" w:themeShade="BF"/>
          <w:sz w:val="28"/>
          <w:szCs w:val="28"/>
        </w:rPr>
      </w:pPr>
    </w:p>
    <w:p w:rsidR="00EB1E51" w:rsidRDefault="006A2814" w:rsidP="00E721D4">
      <w:pPr>
        <w:rPr>
          <w:b/>
          <w:color w:val="2F5496" w:themeColor="accent5" w:themeShade="BF"/>
          <w:sz w:val="28"/>
          <w:szCs w:val="28"/>
        </w:rPr>
      </w:pPr>
      <w:r>
        <w:rPr>
          <w:b/>
          <w:color w:val="2F5496" w:themeColor="accent5" w:themeShade="BF"/>
          <w:sz w:val="28"/>
          <w:szCs w:val="28"/>
        </w:rPr>
        <w:t>FSB</w:t>
      </w:r>
    </w:p>
    <w:p w:rsidR="00356F79" w:rsidRDefault="00EB1E51" w:rsidP="00E721D4">
      <w:pPr>
        <w:rPr>
          <w:lang w:val="en-US"/>
        </w:rPr>
      </w:pPr>
      <w:r>
        <w:rPr>
          <w:lang w:val="en-US"/>
        </w:rPr>
        <w:t xml:space="preserve">In July 2014, the FSB published </w:t>
      </w:r>
      <w:r w:rsidRPr="00EB1E51">
        <w:rPr>
          <w:i/>
          <w:lang w:val="en-US"/>
        </w:rPr>
        <w:t>Reforming Major Interest Rate Benchmarks</w:t>
      </w:r>
      <w:r w:rsidR="00356F79">
        <w:rPr>
          <w:i/>
        </w:rPr>
        <w:t xml:space="preserve"> </w:t>
      </w:r>
      <w:r w:rsidR="00356F79" w:rsidRPr="00356F79">
        <w:t>following</w:t>
      </w:r>
      <w:r w:rsidR="00356F79">
        <w:rPr>
          <w:i/>
        </w:rPr>
        <w:t xml:space="preserve"> </w:t>
      </w:r>
      <w:r w:rsidR="00356F79">
        <w:rPr>
          <w:lang w:val="en-US"/>
        </w:rPr>
        <w:t xml:space="preserve">the </w:t>
      </w:r>
      <w:r w:rsidR="00F91B63">
        <w:rPr>
          <w:lang w:val="en-US"/>
        </w:rPr>
        <w:t xml:space="preserve">recommendations of the </w:t>
      </w:r>
      <w:r w:rsidR="00356F79">
        <w:rPr>
          <w:lang w:val="en-US"/>
        </w:rPr>
        <w:t xml:space="preserve">Official Sector Steering Group of regulators and central banks </w:t>
      </w:r>
      <w:hyperlink r:id="rId9" w:history="1">
        <w:r w:rsidR="00356F79" w:rsidRPr="00B22182">
          <w:rPr>
            <w:rStyle w:val="Hyperlink"/>
            <w:lang w:val="en-US"/>
          </w:rPr>
          <w:t>http://www.fsb.org/2014/07/r_140722a/</w:t>
        </w:r>
      </w:hyperlink>
      <w:r w:rsidR="00356F79">
        <w:rPr>
          <w:lang w:val="en-US"/>
        </w:rPr>
        <w:t xml:space="preserve"> . The reports ass</w:t>
      </w:r>
      <w:r w:rsidR="00F91B63">
        <w:rPr>
          <w:lang w:val="en-US"/>
        </w:rPr>
        <w:t>esses</w:t>
      </w:r>
      <w:r w:rsidR="00356F79">
        <w:rPr>
          <w:lang w:val="en-US"/>
        </w:rPr>
        <w:t xml:space="preserve"> major benchmarks against the IOSCO Principles and draws on a review by the Market Participants Group </w:t>
      </w:r>
      <w:r w:rsidR="00E70D9D">
        <w:rPr>
          <w:lang w:val="en-US"/>
        </w:rPr>
        <w:t xml:space="preserve">which </w:t>
      </w:r>
      <w:proofErr w:type="spellStart"/>
      <w:r w:rsidR="00E70D9D">
        <w:rPr>
          <w:lang w:val="en-US"/>
        </w:rPr>
        <w:t>analysed</w:t>
      </w:r>
      <w:proofErr w:type="spellEnd"/>
      <w:r w:rsidR="00F91B63">
        <w:rPr>
          <w:lang w:val="en-US"/>
        </w:rPr>
        <w:t xml:space="preserve"> alternatives and </w:t>
      </w:r>
      <w:r w:rsidR="00356F79">
        <w:rPr>
          <w:lang w:val="en-US"/>
        </w:rPr>
        <w:t>transition issues (same link).</w:t>
      </w:r>
    </w:p>
    <w:p w:rsidR="0000389C" w:rsidRDefault="006C545D" w:rsidP="0000389C">
      <w:pPr>
        <w:rPr>
          <w:rFonts w:asciiTheme="minorHAnsi" w:eastAsia="Times New Roman" w:hAnsiTheme="minorHAnsi" w:cs="Helvetica"/>
          <w:shd w:val="clear" w:color="auto" w:fill="FFFFFF"/>
        </w:rPr>
      </w:pPr>
      <w:r>
        <w:rPr>
          <w:lang w:val="en-US"/>
        </w:rPr>
        <w:t xml:space="preserve">In July 2015, the FSB published an interim progress report </w:t>
      </w:r>
      <w:hyperlink r:id="rId10" w:history="1">
        <w:r w:rsidRPr="006C545D">
          <w:rPr>
            <w:rFonts w:asciiTheme="minorHAnsi" w:eastAsia="Times New Roman" w:hAnsiTheme="minorHAnsi" w:cs="Helvetica"/>
            <w:bCs/>
            <w:color w:val="0563C1" w:themeColor="hyperlink"/>
            <w:kern w:val="36"/>
            <w:u w:val="single"/>
          </w:rPr>
          <w:t>http://www.fsb.org/2015/07/reforming-major-interest-rate-benchmarks-july-2015-progress-report/</w:t>
        </w:r>
      </w:hyperlink>
      <w:r w:rsidRPr="006C545D">
        <w:rPr>
          <w:rFonts w:asciiTheme="minorHAnsi" w:eastAsia="Times New Roman" w:hAnsiTheme="minorHAnsi" w:cs="Helvetica"/>
          <w:bCs/>
          <w:color w:val="555555"/>
          <w:kern w:val="36"/>
        </w:rPr>
        <w:t xml:space="preserve"> </w:t>
      </w:r>
      <w:r w:rsidR="0000389C" w:rsidRPr="0000389C">
        <w:rPr>
          <w:rFonts w:asciiTheme="minorHAnsi" w:eastAsia="Times New Roman" w:hAnsiTheme="minorHAnsi" w:cs="Helvetica"/>
          <w:shd w:val="clear" w:color="auto" w:fill="FFFFFF"/>
        </w:rPr>
        <w:t xml:space="preserve">describing progress including reviews of </w:t>
      </w:r>
      <w:r w:rsidR="0000389C" w:rsidRPr="0000389C">
        <w:rPr>
          <w:rFonts w:asciiTheme="minorHAnsi" w:eastAsia="Times New Roman" w:hAnsiTheme="minorHAnsi" w:cs="Helvetica"/>
          <w:shd w:val="clear" w:color="auto" w:fill="FFFFFF"/>
        </w:rPr>
        <w:lastRenderedPageBreak/>
        <w:t>methodologies and definitions, feasibility studies, consideration of transitional and legal issues, and broad consultations with st</w:t>
      </w:r>
      <w:r w:rsidR="00E70D9D">
        <w:rPr>
          <w:rFonts w:asciiTheme="minorHAnsi" w:eastAsia="Times New Roman" w:hAnsiTheme="minorHAnsi" w:cs="Helvetica"/>
          <w:shd w:val="clear" w:color="auto" w:fill="FFFFFF"/>
        </w:rPr>
        <w:t xml:space="preserve">akeholders. It also reported </w:t>
      </w:r>
      <w:r w:rsidR="0000389C" w:rsidRPr="0000389C">
        <w:rPr>
          <w:rFonts w:asciiTheme="minorHAnsi" w:eastAsia="Times New Roman" w:hAnsiTheme="minorHAnsi" w:cs="Helvetica"/>
          <w:shd w:val="clear" w:color="auto" w:fill="FFFFFF"/>
        </w:rPr>
        <w:t xml:space="preserve">progress in identifying potential </w:t>
      </w:r>
      <w:r w:rsidR="00F231D1">
        <w:rPr>
          <w:rFonts w:asciiTheme="minorHAnsi" w:eastAsia="Times New Roman" w:hAnsiTheme="minorHAnsi" w:cs="Helvetica"/>
          <w:shd w:val="clear" w:color="auto" w:fill="FFFFFF"/>
        </w:rPr>
        <w:t>risk-</w:t>
      </w:r>
      <w:r w:rsidR="006304AA">
        <w:rPr>
          <w:rFonts w:asciiTheme="minorHAnsi" w:eastAsia="Times New Roman" w:hAnsiTheme="minorHAnsi" w:cs="Helvetica"/>
          <w:shd w:val="clear" w:color="auto" w:fill="FFFFFF"/>
        </w:rPr>
        <w:t>free rate alternatives</w:t>
      </w:r>
      <w:r w:rsidR="00E70D9D">
        <w:rPr>
          <w:rFonts w:asciiTheme="minorHAnsi" w:eastAsia="Times New Roman" w:hAnsiTheme="minorHAnsi" w:cs="Helvetica"/>
          <w:shd w:val="clear" w:color="auto" w:fill="FFFFFF"/>
        </w:rPr>
        <w:t xml:space="preserve"> and </w:t>
      </w:r>
      <w:r w:rsidR="0000389C" w:rsidRPr="0000389C">
        <w:rPr>
          <w:rFonts w:asciiTheme="minorHAnsi" w:eastAsia="Times New Roman" w:hAnsiTheme="minorHAnsi" w:cs="Helvetica"/>
          <w:shd w:val="clear" w:color="auto" w:fill="FFFFFF"/>
        </w:rPr>
        <w:t>data collection exercises.</w:t>
      </w:r>
    </w:p>
    <w:p w:rsidR="006304AA" w:rsidRPr="006304AA" w:rsidRDefault="006304AA" w:rsidP="006304AA">
      <w:pPr>
        <w:rPr>
          <w:rFonts w:asciiTheme="minorHAnsi" w:hAnsiTheme="minorHAnsi" w:cstheme="minorBidi"/>
          <w:lang w:eastAsia="en-US"/>
        </w:rPr>
      </w:pPr>
      <w:r>
        <w:rPr>
          <w:rFonts w:asciiTheme="minorHAnsi" w:eastAsia="Times New Roman" w:hAnsiTheme="minorHAnsi" w:cs="Helvetica"/>
          <w:shd w:val="clear" w:color="auto" w:fill="FFFFFF"/>
        </w:rPr>
        <w:t>The July 20</w:t>
      </w:r>
      <w:r w:rsidR="00F231D1">
        <w:rPr>
          <w:rFonts w:asciiTheme="minorHAnsi" w:eastAsia="Times New Roman" w:hAnsiTheme="minorHAnsi" w:cs="Helvetica"/>
          <w:shd w:val="clear" w:color="auto" w:fill="FFFFFF"/>
        </w:rPr>
        <w:t xml:space="preserve">16 </w:t>
      </w:r>
      <w:r>
        <w:rPr>
          <w:rFonts w:asciiTheme="minorHAnsi" w:eastAsia="Times New Roman" w:hAnsiTheme="minorHAnsi" w:cs="Helvetica"/>
          <w:shd w:val="clear" w:color="auto" w:fill="FFFFFF"/>
        </w:rPr>
        <w:t xml:space="preserve">report </w:t>
      </w:r>
      <w:r w:rsidR="00F231D1">
        <w:rPr>
          <w:rFonts w:asciiTheme="minorHAnsi" w:eastAsia="Times New Roman" w:hAnsiTheme="minorHAnsi" w:cs="Helvetica"/>
          <w:shd w:val="clear" w:color="auto" w:fill="FFFFFF"/>
        </w:rPr>
        <w:t xml:space="preserve">noted good progress on EURIBOR, LIBOR, and TIBOR, as well as </w:t>
      </w:r>
      <w:r w:rsidR="003E70CE">
        <w:rPr>
          <w:rFonts w:asciiTheme="minorHAnsi" w:eastAsia="Times New Roman" w:hAnsiTheme="minorHAnsi" w:cs="Helvetica"/>
          <w:shd w:val="clear" w:color="auto" w:fill="FFFFFF"/>
        </w:rPr>
        <w:t xml:space="preserve">on </w:t>
      </w:r>
      <w:r w:rsidR="00F231D1">
        <w:rPr>
          <w:rFonts w:asciiTheme="minorHAnsi" w:eastAsia="Times New Roman" w:hAnsiTheme="minorHAnsi" w:cs="Helvetica"/>
          <w:shd w:val="clear" w:color="auto" w:fill="FFFFFF"/>
        </w:rPr>
        <w:t xml:space="preserve">benchmarks in </w:t>
      </w:r>
      <w:r w:rsidR="00C73A0A">
        <w:rPr>
          <w:rFonts w:asciiTheme="minorHAnsi" w:eastAsia="Times New Roman" w:hAnsiTheme="minorHAnsi" w:cs="Helvetica"/>
          <w:color w:val="474747"/>
          <w:shd w:val="clear" w:color="auto" w:fill="FFFFFF"/>
        </w:rPr>
        <w:t>other countries</w:t>
      </w:r>
      <w:r w:rsidR="00F231D1">
        <w:rPr>
          <w:rFonts w:asciiTheme="minorHAnsi" w:eastAsia="Times New Roman" w:hAnsiTheme="minorHAnsi" w:cs="Helvetica"/>
          <w:color w:val="474747"/>
          <w:shd w:val="clear" w:color="auto" w:fill="FFFFFF"/>
        </w:rPr>
        <w:t>.</w:t>
      </w:r>
      <w:r>
        <w:rPr>
          <w:rFonts w:asciiTheme="minorHAnsi" w:eastAsia="Times New Roman" w:hAnsiTheme="minorHAnsi" w:cs="Helvetica"/>
          <w:shd w:val="clear" w:color="auto" w:fill="FFFFFF"/>
        </w:rPr>
        <w:t xml:space="preserve"> </w:t>
      </w:r>
      <w:r w:rsidR="00015BBA">
        <w:rPr>
          <w:rFonts w:asciiTheme="minorHAnsi" w:hAnsiTheme="minorHAnsi" w:cstheme="minorBidi"/>
          <w:lang w:eastAsia="en-US"/>
        </w:rPr>
        <w:t>However, much work remained</w:t>
      </w:r>
      <w:r w:rsidR="00F231D1">
        <w:rPr>
          <w:rFonts w:asciiTheme="minorHAnsi" w:hAnsiTheme="minorHAnsi" w:cstheme="minorBidi"/>
          <w:lang w:eastAsia="en-US"/>
        </w:rPr>
        <w:t xml:space="preserve"> on transition, use </w:t>
      </w:r>
      <w:r w:rsidR="00C73A0A">
        <w:rPr>
          <w:rFonts w:asciiTheme="minorHAnsi" w:hAnsiTheme="minorHAnsi" w:cstheme="minorBidi"/>
          <w:lang w:eastAsia="en-US"/>
        </w:rPr>
        <w:t>of objective data</w:t>
      </w:r>
      <w:r w:rsidR="00F231D1">
        <w:rPr>
          <w:rFonts w:asciiTheme="minorHAnsi" w:hAnsiTheme="minorHAnsi" w:cstheme="minorBidi"/>
          <w:lang w:eastAsia="en-US"/>
        </w:rPr>
        <w:t xml:space="preserve">, and identifying risk-free rates. </w:t>
      </w:r>
      <w:hyperlink r:id="rId11" w:history="1">
        <w:r w:rsidR="00F231D1" w:rsidRPr="006304AA">
          <w:rPr>
            <w:rFonts w:asciiTheme="minorHAnsi" w:hAnsiTheme="minorHAnsi" w:cstheme="minorBidi"/>
            <w:color w:val="0563C1" w:themeColor="hyperlink"/>
            <w:u w:val="single"/>
            <w:lang w:eastAsia="en-US"/>
          </w:rPr>
          <w:t>http://www.fsb.org/2016/07/reforming-major-interest-rate-benchmarks-3/</w:t>
        </w:r>
      </w:hyperlink>
      <w:r w:rsidR="00F231D1" w:rsidRPr="006304AA">
        <w:rPr>
          <w:rFonts w:asciiTheme="minorHAnsi" w:hAnsiTheme="minorHAnsi" w:cstheme="minorBidi"/>
          <w:lang w:eastAsia="en-US"/>
        </w:rPr>
        <w:t xml:space="preserve"> </w:t>
      </w:r>
    </w:p>
    <w:p w:rsidR="00F231D1" w:rsidRDefault="00F231D1" w:rsidP="00E721D4">
      <w:pPr>
        <w:rPr>
          <w:rFonts w:asciiTheme="minorHAnsi" w:eastAsia="Times New Roman" w:hAnsiTheme="minorHAnsi" w:cs="Helvetica"/>
          <w:shd w:val="clear" w:color="auto" w:fill="FFFFFF"/>
        </w:rPr>
      </w:pPr>
    </w:p>
    <w:p w:rsidR="00F231D1" w:rsidRDefault="00F231D1" w:rsidP="00E721D4">
      <w:pPr>
        <w:rPr>
          <w:b/>
          <w:color w:val="2F5496" w:themeColor="accent5" w:themeShade="BF"/>
          <w:sz w:val="28"/>
          <w:szCs w:val="28"/>
        </w:rPr>
      </w:pPr>
      <w:r>
        <w:rPr>
          <w:b/>
          <w:color w:val="2F5496" w:themeColor="accent5" w:themeShade="BF"/>
          <w:sz w:val="28"/>
          <w:szCs w:val="28"/>
        </w:rPr>
        <w:t>LIBOR</w:t>
      </w:r>
    </w:p>
    <w:p w:rsidR="00C73A0A" w:rsidRPr="006B3570" w:rsidRDefault="00BF3F18" w:rsidP="00E721D4">
      <w:pPr>
        <w:rPr>
          <w:rFonts w:asciiTheme="minorHAnsi" w:eastAsia="Times New Roman" w:hAnsiTheme="minorHAnsi" w:cs="Arial"/>
        </w:rPr>
      </w:pPr>
      <w:r w:rsidRPr="006B3570">
        <w:t xml:space="preserve">The final report of the Wheatley Review of LIBOR was published in September 2012.  </w:t>
      </w:r>
      <w:hyperlink r:id="rId12" w:history="1">
        <w:r w:rsidR="00C73A0A" w:rsidRPr="00B22182">
          <w:rPr>
            <w:rStyle w:val="Hyperlink"/>
          </w:rPr>
          <w:t>https://www.gov.uk/government/uploads/system/uploads/attachment_data/file/191762/wheatley_review_libor_finalreport_280912.pdf</w:t>
        </w:r>
      </w:hyperlink>
      <w:r w:rsidR="00C73A0A">
        <w:rPr>
          <w:color w:val="2F5496" w:themeColor="accent5" w:themeShade="BF"/>
        </w:rPr>
        <w:t xml:space="preserve"> .  </w:t>
      </w:r>
      <w:r w:rsidR="00C73A0A" w:rsidRPr="006B3570">
        <w:rPr>
          <w:rFonts w:asciiTheme="minorHAnsi" w:eastAsia="Times New Roman" w:hAnsiTheme="minorHAnsi" w:cs="Arial"/>
        </w:rPr>
        <w:t xml:space="preserve">Significant recommended reforms, in line with </w:t>
      </w:r>
      <w:r w:rsidR="006B3570" w:rsidRPr="006B3570">
        <w:rPr>
          <w:rFonts w:asciiTheme="minorHAnsi" w:eastAsia="Times New Roman" w:hAnsiTheme="minorHAnsi" w:cs="Arial"/>
        </w:rPr>
        <w:t>review,</w:t>
      </w:r>
      <w:r w:rsidR="00C73A0A" w:rsidRPr="006B3570">
        <w:rPr>
          <w:rFonts w:asciiTheme="minorHAnsi" w:eastAsia="Times New Roman" w:hAnsiTheme="minorHAnsi" w:cs="Arial"/>
        </w:rPr>
        <w:t xml:space="preserve"> came into effe</w:t>
      </w:r>
      <w:r w:rsidR="006B3570" w:rsidRPr="006B3570">
        <w:rPr>
          <w:rFonts w:asciiTheme="minorHAnsi" w:eastAsia="Times New Roman" w:hAnsiTheme="minorHAnsi" w:cs="Arial"/>
        </w:rPr>
        <w:t xml:space="preserve">ct in 2013 </w:t>
      </w:r>
      <w:r w:rsidR="00C73A0A" w:rsidRPr="006B3570">
        <w:rPr>
          <w:rFonts w:asciiTheme="minorHAnsi" w:eastAsia="Times New Roman" w:hAnsiTheme="minorHAnsi" w:cs="Arial"/>
        </w:rPr>
        <w:t>including</w:t>
      </w:r>
    </w:p>
    <w:p w:rsidR="00C73A0A" w:rsidRPr="006B3570" w:rsidRDefault="00B30709" w:rsidP="006B3570">
      <w:pPr>
        <w:pStyle w:val="ListParagraph"/>
        <w:numPr>
          <w:ilvl w:val="0"/>
          <w:numId w:val="1"/>
        </w:numPr>
        <w:rPr>
          <w:rFonts w:asciiTheme="minorHAnsi" w:hAnsiTheme="minorHAnsi"/>
        </w:rPr>
      </w:pPr>
      <w:r>
        <w:rPr>
          <w:rFonts w:asciiTheme="minorHAnsi" w:eastAsia="Times New Roman" w:hAnsiTheme="minorHAnsi" w:cs="Arial"/>
        </w:rPr>
        <w:t xml:space="preserve">Introduction of </w:t>
      </w:r>
      <w:r w:rsidR="00C73A0A" w:rsidRPr="006B3570">
        <w:rPr>
          <w:rFonts w:asciiTheme="minorHAnsi" w:eastAsia="Times New Roman" w:hAnsiTheme="minorHAnsi" w:cs="Arial"/>
        </w:rPr>
        <w:t>U</w:t>
      </w:r>
      <w:r>
        <w:rPr>
          <w:rFonts w:asciiTheme="minorHAnsi" w:eastAsia="Times New Roman" w:hAnsiTheme="minorHAnsi" w:cs="Arial"/>
        </w:rPr>
        <w:t>.</w:t>
      </w:r>
      <w:r w:rsidR="00C73A0A" w:rsidRPr="006B3570">
        <w:rPr>
          <w:rFonts w:asciiTheme="minorHAnsi" w:eastAsia="Times New Roman" w:hAnsiTheme="minorHAnsi" w:cs="Arial"/>
        </w:rPr>
        <w:t>K</w:t>
      </w:r>
      <w:r>
        <w:rPr>
          <w:rFonts w:asciiTheme="minorHAnsi" w:eastAsia="Times New Roman" w:hAnsiTheme="minorHAnsi" w:cs="Arial"/>
        </w:rPr>
        <w:t>.</w:t>
      </w:r>
      <w:r w:rsidR="00C73A0A" w:rsidRPr="006B3570">
        <w:rPr>
          <w:rFonts w:asciiTheme="minorHAnsi" w:eastAsia="Times New Roman" w:hAnsiTheme="minorHAnsi" w:cs="Arial"/>
        </w:rPr>
        <w:t xml:space="preserve"> </w:t>
      </w:r>
      <w:r w:rsidR="006B3570" w:rsidRPr="006B3570">
        <w:rPr>
          <w:rFonts w:asciiTheme="minorHAnsi" w:eastAsia="Times New Roman" w:hAnsiTheme="minorHAnsi" w:cs="Arial"/>
        </w:rPr>
        <w:t xml:space="preserve">regulatory oversight, with </w:t>
      </w:r>
      <w:r w:rsidR="00C73A0A" w:rsidRPr="006B3570">
        <w:rPr>
          <w:rFonts w:asciiTheme="minorHAnsi" w:eastAsia="Times New Roman" w:hAnsiTheme="minorHAnsi" w:cs="Arial"/>
        </w:rPr>
        <w:t>knowingly or deliberately making false or misleading s</w:t>
      </w:r>
      <w:r>
        <w:rPr>
          <w:rFonts w:asciiTheme="minorHAnsi" w:eastAsia="Times New Roman" w:hAnsiTheme="minorHAnsi" w:cs="Arial"/>
        </w:rPr>
        <w:t xml:space="preserve">tatements relating to benchmark </w:t>
      </w:r>
      <w:r w:rsidR="00C73A0A" w:rsidRPr="006B3570">
        <w:rPr>
          <w:rFonts w:asciiTheme="minorHAnsi" w:eastAsia="Times New Roman" w:hAnsiTheme="minorHAnsi" w:cs="Arial"/>
        </w:rPr>
        <w:t>setting</w:t>
      </w:r>
      <w:r w:rsidR="006B3570" w:rsidRPr="006B3570">
        <w:rPr>
          <w:rFonts w:asciiTheme="minorHAnsi" w:eastAsia="Times New Roman" w:hAnsiTheme="minorHAnsi" w:cs="Arial"/>
        </w:rPr>
        <w:t xml:space="preserve"> becoming a criminal offense</w:t>
      </w:r>
    </w:p>
    <w:p w:rsidR="00C73A0A" w:rsidRPr="006B3570" w:rsidRDefault="00B30709" w:rsidP="006B3570">
      <w:pPr>
        <w:pStyle w:val="ListParagraph"/>
        <w:numPr>
          <w:ilvl w:val="0"/>
          <w:numId w:val="1"/>
        </w:numPr>
        <w:rPr>
          <w:rFonts w:asciiTheme="minorHAnsi" w:hAnsiTheme="minorHAnsi"/>
        </w:rPr>
      </w:pPr>
      <w:r>
        <w:rPr>
          <w:rFonts w:asciiTheme="minorHAnsi" w:hAnsiTheme="minorHAnsi"/>
        </w:rPr>
        <w:t>Transfer to a n</w:t>
      </w:r>
      <w:r w:rsidR="00C73A0A" w:rsidRPr="006B3570">
        <w:rPr>
          <w:rFonts w:asciiTheme="minorHAnsi" w:hAnsiTheme="minorHAnsi"/>
        </w:rPr>
        <w:t>ew administrator (</w:t>
      </w:r>
      <w:r w:rsidR="006B3570" w:rsidRPr="006B3570">
        <w:rPr>
          <w:rFonts w:asciiTheme="minorHAnsi" w:hAnsiTheme="minorHAnsi"/>
        </w:rPr>
        <w:t>Intercontinental Exchange - ICE)</w:t>
      </w:r>
    </w:p>
    <w:p w:rsidR="00917DD0" w:rsidRDefault="00917DD0" w:rsidP="00504CE8">
      <w:pPr>
        <w:pStyle w:val="ListParagraph"/>
        <w:numPr>
          <w:ilvl w:val="0"/>
          <w:numId w:val="1"/>
        </w:numPr>
        <w:shd w:val="clear" w:color="auto" w:fill="FFFFFF"/>
        <w:spacing w:before="60" w:after="180" w:line="336" w:lineRule="atLeast"/>
        <w:rPr>
          <w:rFonts w:asciiTheme="minorHAnsi" w:eastAsia="Times New Roman" w:hAnsiTheme="minorHAnsi" w:cs="Arial"/>
        </w:rPr>
      </w:pPr>
      <w:r>
        <w:rPr>
          <w:rFonts w:asciiTheme="minorHAnsi" w:eastAsia="Times New Roman" w:hAnsiTheme="minorHAnsi" w:cs="Arial"/>
        </w:rPr>
        <w:t xml:space="preserve">Cessation of </w:t>
      </w:r>
      <w:r w:rsidR="00B30709">
        <w:rPr>
          <w:rFonts w:asciiTheme="minorHAnsi" w:eastAsia="Times New Roman" w:hAnsiTheme="minorHAnsi" w:cs="Arial"/>
        </w:rPr>
        <w:t xml:space="preserve">the </w:t>
      </w:r>
      <w:r w:rsidR="006E172C">
        <w:rPr>
          <w:rFonts w:asciiTheme="minorHAnsi" w:eastAsia="Times New Roman" w:hAnsiTheme="minorHAnsi" w:cs="Arial"/>
        </w:rPr>
        <w:t>publication of</w:t>
      </w:r>
      <w:r>
        <w:rPr>
          <w:rFonts w:asciiTheme="minorHAnsi" w:eastAsia="Times New Roman" w:hAnsiTheme="minorHAnsi" w:cs="Arial"/>
        </w:rPr>
        <w:t xml:space="preserve"> LIBOR</w:t>
      </w:r>
      <w:r w:rsidRPr="00917DD0">
        <w:rPr>
          <w:rFonts w:asciiTheme="minorHAnsi" w:eastAsia="Times New Roman" w:hAnsiTheme="minorHAnsi" w:cs="Arial"/>
        </w:rPr>
        <w:t xml:space="preserve"> </w:t>
      </w:r>
      <w:r>
        <w:rPr>
          <w:rFonts w:asciiTheme="minorHAnsi" w:eastAsia="Times New Roman" w:hAnsiTheme="minorHAnsi" w:cs="Arial"/>
        </w:rPr>
        <w:t xml:space="preserve">for </w:t>
      </w:r>
      <w:r w:rsidR="006B3570" w:rsidRPr="00917DD0">
        <w:rPr>
          <w:rFonts w:asciiTheme="minorHAnsi" w:eastAsia="Times New Roman" w:hAnsiTheme="minorHAnsi" w:cs="Arial"/>
        </w:rPr>
        <w:t>curr</w:t>
      </w:r>
      <w:r w:rsidR="00B30709">
        <w:rPr>
          <w:rFonts w:asciiTheme="minorHAnsi" w:eastAsia="Times New Roman" w:hAnsiTheme="minorHAnsi" w:cs="Arial"/>
        </w:rPr>
        <w:t>encies and tenors with</w:t>
      </w:r>
      <w:r w:rsidR="006B3570" w:rsidRPr="00917DD0">
        <w:rPr>
          <w:rFonts w:asciiTheme="minorHAnsi" w:eastAsia="Times New Roman" w:hAnsiTheme="minorHAnsi" w:cs="Arial"/>
        </w:rPr>
        <w:t xml:space="preserve"> insufficient trade d</w:t>
      </w:r>
      <w:r>
        <w:rPr>
          <w:rFonts w:asciiTheme="minorHAnsi" w:eastAsia="Times New Roman" w:hAnsiTheme="minorHAnsi" w:cs="Arial"/>
        </w:rPr>
        <w:t>ata to corroborate submissions</w:t>
      </w:r>
      <w:r w:rsidR="00B30709">
        <w:rPr>
          <w:rFonts w:asciiTheme="minorHAnsi" w:eastAsia="Times New Roman" w:hAnsiTheme="minorHAnsi" w:cs="Arial"/>
        </w:rPr>
        <w:t xml:space="preserve"> (LIBOR </w:t>
      </w:r>
      <w:r w:rsidR="006E172C">
        <w:rPr>
          <w:rFonts w:asciiTheme="minorHAnsi" w:eastAsia="Times New Roman" w:hAnsiTheme="minorHAnsi" w:cs="Arial"/>
        </w:rPr>
        <w:t xml:space="preserve">now </w:t>
      </w:r>
      <w:r w:rsidR="00B30709">
        <w:rPr>
          <w:rFonts w:asciiTheme="minorHAnsi" w:eastAsia="Times New Roman" w:hAnsiTheme="minorHAnsi" w:cs="Arial"/>
        </w:rPr>
        <w:t>quoted in five currencies in seven tenors, reduced from ten currencies in fifteen tenors)</w:t>
      </w:r>
    </w:p>
    <w:p w:rsidR="00977418" w:rsidRPr="00352BF5" w:rsidRDefault="00917DD0" w:rsidP="00917DD0">
      <w:pPr>
        <w:pStyle w:val="ListParagraph"/>
        <w:numPr>
          <w:ilvl w:val="0"/>
          <w:numId w:val="1"/>
        </w:numPr>
        <w:shd w:val="clear" w:color="auto" w:fill="FFFFFF"/>
        <w:spacing w:before="60" w:after="180" w:line="336" w:lineRule="atLeast"/>
        <w:rPr>
          <w:rFonts w:asciiTheme="minorHAnsi" w:eastAsia="Times New Roman" w:hAnsiTheme="minorHAnsi" w:cs="Arial"/>
        </w:rPr>
      </w:pPr>
      <w:r>
        <w:rPr>
          <w:rFonts w:asciiTheme="minorHAnsi" w:eastAsia="Times New Roman" w:hAnsiTheme="minorHAnsi" w:cs="Arial"/>
        </w:rPr>
        <w:t>P</w:t>
      </w:r>
      <w:r w:rsidR="006E172C">
        <w:rPr>
          <w:rFonts w:asciiTheme="minorHAnsi" w:eastAsia="Times New Roman" w:hAnsiTheme="minorHAnsi" w:cs="Arial"/>
        </w:rPr>
        <w:t>ublication</w:t>
      </w:r>
      <w:r w:rsidR="006B3570" w:rsidRPr="00917DD0">
        <w:rPr>
          <w:rFonts w:asciiTheme="minorHAnsi" w:eastAsia="Times New Roman" w:hAnsiTheme="minorHAnsi" w:cs="Arial"/>
        </w:rPr>
        <w:t xml:space="preserve"> </w:t>
      </w:r>
      <w:r>
        <w:rPr>
          <w:rFonts w:asciiTheme="minorHAnsi" w:eastAsia="Times New Roman" w:hAnsiTheme="minorHAnsi" w:cs="Arial"/>
        </w:rPr>
        <w:t xml:space="preserve">of </w:t>
      </w:r>
      <w:r w:rsidR="006B3570" w:rsidRPr="00917DD0">
        <w:rPr>
          <w:rFonts w:asciiTheme="minorHAnsi" w:eastAsia="Times New Roman" w:hAnsiTheme="minorHAnsi" w:cs="Arial"/>
        </w:rPr>
        <w:t>indi</w:t>
      </w:r>
      <w:r w:rsidR="006E172C">
        <w:rPr>
          <w:rFonts w:asciiTheme="minorHAnsi" w:eastAsia="Times New Roman" w:hAnsiTheme="minorHAnsi" w:cs="Arial"/>
        </w:rPr>
        <w:t>vidual LIBOR submissions after three</w:t>
      </w:r>
      <w:r w:rsidR="006B3570" w:rsidRPr="00917DD0">
        <w:rPr>
          <w:rFonts w:asciiTheme="minorHAnsi" w:eastAsia="Times New Roman" w:hAnsiTheme="minorHAnsi" w:cs="Arial"/>
        </w:rPr>
        <w:t xml:space="preserve"> months</w:t>
      </w:r>
      <w:r w:rsidR="006E172C">
        <w:rPr>
          <w:rFonts w:asciiTheme="minorHAnsi" w:eastAsia="Times New Roman" w:hAnsiTheme="minorHAnsi" w:cs="Arial"/>
        </w:rPr>
        <w:t>,</w:t>
      </w:r>
      <w:r w:rsidR="006B3570" w:rsidRPr="00917DD0">
        <w:rPr>
          <w:rFonts w:asciiTheme="minorHAnsi" w:eastAsia="Times New Roman" w:hAnsiTheme="minorHAnsi" w:cs="Arial"/>
        </w:rPr>
        <w:t xml:space="preserve"> to increase transparency</w:t>
      </w:r>
      <w:r w:rsidR="00B30709">
        <w:rPr>
          <w:rFonts w:asciiTheme="minorHAnsi" w:eastAsia="Times New Roman" w:hAnsiTheme="minorHAnsi" w:cs="Arial"/>
        </w:rPr>
        <w:t xml:space="preserve"> and reduce incentive for </w:t>
      </w:r>
      <w:r>
        <w:rPr>
          <w:rFonts w:asciiTheme="minorHAnsi" w:eastAsia="Times New Roman" w:hAnsiTheme="minorHAnsi" w:cs="Arial"/>
        </w:rPr>
        <w:t>manipulation</w:t>
      </w:r>
    </w:p>
    <w:p w:rsidR="00917DD0" w:rsidRDefault="00746A52" w:rsidP="00917DD0">
      <w:pPr>
        <w:shd w:val="clear" w:color="auto" w:fill="FFFFFF"/>
        <w:spacing w:before="60" w:after="180" w:line="336" w:lineRule="atLeast"/>
        <w:rPr>
          <w:rFonts w:asciiTheme="minorHAnsi" w:eastAsia="Times New Roman" w:hAnsiTheme="minorHAnsi" w:cs="Arial"/>
          <w:u w:val="single"/>
        </w:rPr>
      </w:pPr>
      <w:r>
        <w:rPr>
          <w:rFonts w:asciiTheme="minorHAnsi" w:eastAsia="Times New Roman" w:hAnsiTheme="minorHAnsi" w:cs="Arial"/>
          <w:u w:val="single"/>
        </w:rPr>
        <w:t>U</w:t>
      </w:r>
      <w:r w:rsidR="0009604E">
        <w:rPr>
          <w:rFonts w:asciiTheme="minorHAnsi" w:eastAsia="Times New Roman" w:hAnsiTheme="minorHAnsi" w:cs="Arial"/>
          <w:u w:val="single"/>
        </w:rPr>
        <w:t>.</w:t>
      </w:r>
      <w:r>
        <w:rPr>
          <w:rFonts w:asciiTheme="minorHAnsi" w:eastAsia="Times New Roman" w:hAnsiTheme="minorHAnsi" w:cs="Arial"/>
          <w:u w:val="single"/>
        </w:rPr>
        <w:t>K</w:t>
      </w:r>
      <w:r w:rsidR="00015BBA">
        <w:rPr>
          <w:rFonts w:asciiTheme="minorHAnsi" w:eastAsia="Times New Roman" w:hAnsiTheme="minorHAnsi" w:cs="Arial"/>
          <w:u w:val="single"/>
        </w:rPr>
        <w:t>. / Sterling</w:t>
      </w:r>
    </w:p>
    <w:p w:rsidR="0009604E" w:rsidRDefault="00746A52" w:rsidP="00746A52">
      <w:pPr>
        <w:shd w:val="clear" w:color="auto" w:fill="FFFFFF"/>
        <w:spacing w:after="240" w:line="240" w:lineRule="auto"/>
        <w:rPr>
          <w:rFonts w:asciiTheme="minorHAnsi" w:eastAsia="Times New Roman" w:hAnsiTheme="minorHAnsi" w:cs="Arial"/>
          <w:color w:val="404041"/>
          <w:lang w:val="en-US"/>
        </w:rPr>
      </w:pPr>
      <w:r w:rsidRPr="00746A52">
        <w:rPr>
          <w:rFonts w:asciiTheme="minorHAnsi" w:eastAsia="Times New Roman" w:hAnsiTheme="minorHAnsi" w:cs="Arial"/>
          <w:color w:val="404041"/>
          <w:lang w:val="en-US"/>
        </w:rPr>
        <w:t>In the U</w:t>
      </w:r>
      <w:r w:rsidR="00015BBA">
        <w:rPr>
          <w:rFonts w:asciiTheme="minorHAnsi" w:eastAsia="Times New Roman" w:hAnsiTheme="minorHAnsi" w:cs="Arial"/>
          <w:color w:val="404041"/>
          <w:lang w:val="en-US"/>
        </w:rPr>
        <w:t>.</w:t>
      </w:r>
      <w:r w:rsidRPr="00746A52">
        <w:rPr>
          <w:rFonts w:asciiTheme="minorHAnsi" w:eastAsia="Times New Roman" w:hAnsiTheme="minorHAnsi" w:cs="Arial"/>
          <w:color w:val="404041"/>
          <w:lang w:val="en-US"/>
        </w:rPr>
        <w:t>K</w:t>
      </w:r>
      <w:r w:rsidR="00015BBA">
        <w:rPr>
          <w:rFonts w:asciiTheme="minorHAnsi" w:eastAsia="Times New Roman" w:hAnsiTheme="minorHAnsi" w:cs="Arial"/>
          <w:color w:val="404041"/>
          <w:lang w:val="en-US"/>
        </w:rPr>
        <w:t>.</w:t>
      </w:r>
      <w:r w:rsidRPr="00746A52">
        <w:rPr>
          <w:rFonts w:asciiTheme="minorHAnsi" w:eastAsia="Times New Roman" w:hAnsiTheme="minorHAnsi" w:cs="Arial"/>
          <w:color w:val="404041"/>
          <w:lang w:val="en-US"/>
        </w:rPr>
        <w:t>, the Financial Conduct Authority i</w:t>
      </w:r>
      <w:r w:rsidR="00B30709">
        <w:rPr>
          <w:rFonts w:asciiTheme="minorHAnsi" w:eastAsia="Times New Roman" w:hAnsiTheme="minorHAnsi" w:cs="Arial"/>
          <w:color w:val="404041"/>
          <w:lang w:val="en-US"/>
        </w:rPr>
        <w:t>s overseeing the reform of LIBOR (including Sterling LIBOR</w:t>
      </w:r>
      <w:r w:rsidRPr="00746A52">
        <w:rPr>
          <w:rFonts w:asciiTheme="minorHAnsi" w:eastAsia="Times New Roman" w:hAnsiTheme="minorHAnsi" w:cs="Arial"/>
          <w:color w:val="404041"/>
          <w:lang w:val="en-US"/>
        </w:rPr>
        <w:t xml:space="preserve">) and the Bank of England is overseeing </w:t>
      </w:r>
      <w:r w:rsidRPr="000F3C67">
        <w:rPr>
          <w:rFonts w:asciiTheme="minorHAnsi" w:eastAsia="Times New Roman" w:hAnsiTheme="minorHAnsi" w:cs="Arial"/>
          <w:color w:val="404041"/>
          <w:lang w:val="en-US"/>
        </w:rPr>
        <w:t>the development of sterling risk-free rates</w:t>
      </w:r>
      <w:r w:rsidR="00015BBA">
        <w:rPr>
          <w:rFonts w:asciiTheme="minorHAnsi" w:eastAsia="Times New Roman" w:hAnsiTheme="minorHAnsi" w:cs="Arial"/>
          <w:color w:val="404041"/>
          <w:lang w:val="en-US"/>
        </w:rPr>
        <w:t xml:space="preserve">. </w:t>
      </w:r>
      <w:r w:rsidR="00015BBA">
        <w:rPr>
          <w:rFonts w:asciiTheme="minorHAnsi" w:eastAsia="Times New Roman" w:hAnsiTheme="minorHAnsi" w:cs="Arial"/>
          <w:color w:val="404041"/>
          <w:lang w:val="en-US"/>
        </w:rPr>
        <w:br/>
      </w:r>
      <w:r w:rsidR="00015BBA">
        <w:rPr>
          <w:rFonts w:asciiTheme="minorHAnsi" w:eastAsia="Times New Roman" w:hAnsiTheme="minorHAnsi" w:cs="Arial"/>
          <w:color w:val="404041"/>
          <w:lang w:val="en-US"/>
        </w:rPr>
        <w:br/>
        <w:t>The</w:t>
      </w:r>
      <w:r w:rsidRPr="00746A52">
        <w:rPr>
          <w:rFonts w:asciiTheme="minorHAnsi" w:eastAsia="Times New Roman" w:hAnsiTheme="minorHAnsi" w:cs="Arial"/>
          <w:color w:val="404041"/>
          <w:lang w:val="en-US"/>
        </w:rPr>
        <w:t xml:space="preserve"> Working Group on Sterling Risk-F</w:t>
      </w:r>
      <w:r w:rsidR="00015BBA">
        <w:rPr>
          <w:rFonts w:asciiTheme="minorHAnsi" w:eastAsia="Times New Roman" w:hAnsiTheme="minorHAnsi" w:cs="Arial"/>
          <w:color w:val="404041"/>
          <w:lang w:val="en-US"/>
        </w:rPr>
        <w:t xml:space="preserve">ree Reference </w:t>
      </w:r>
      <w:r w:rsidR="00E70D9D">
        <w:rPr>
          <w:rFonts w:asciiTheme="minorHAnsi" w:eastAsia="Times New Roman" w:hAnsiTheme="minorHAnsi" w:cs="Arial"/>
          <w:color w:val="404041"/>
          <w:lang w:val="en-US"/>
        </w:rPr>
        <w:t xml:space="preserve">Rates </w:t>
      </w:r>
      <w:r w:rsidR="00015BBA">
        <w:rPr>
          <w:rFonts w:asciiTheme="minorHAnsi" w:eastAsia="Times New Roman" w:hAnsiTheme="minorHAnsi" w:cs="Arial"/>
          <w:color w:val="404041"/>
          <w:lang w:val="en-US"/>
        </w:rPr>
        <w:t xml:space="preserve">comprised </w:t>
      </w:r>
      <w:r w:rsidR="00B30709">
        <w:rPr>
          <w:rFonts w:asciiTheme="minorHAnsi" w:eastAsia="Times New Roman" w:hAnsiTheme="minorHAnsi" w:cs="Arial"/>
          <w:color w:val="404041"/>
          <w:lang w:val="en-US"/>
        </w:rPr>
        <w:t>of major Sterling swap dealers has been established</w:t>
      </w:r>
      <w:r w:rsidRPr="00746A52">
        <w:rPr>
          <w:rFonts w:asciiTheme="minorHAnsi" w:eastAsia="Times New Roman" w:hAnsiTheme="minorHAnsi" w:cs="Arial"/>
          <w:color w:val="404041"/>
          <w:lang w:val="en-US"/>
        </w:rPr>
        <w:t xml:space="preserve"> to assist the</w:t>
      </w:r>
      <w:r w:rsidR="00B30709">
        <w:rPr>
          <w:rFonts w:asciiTheme="minorHAnsi" w:eastAsia="Times New Roman" w:hAnsiTheme="minorHAnsi" w:cs="Arial"/>
          <w:color w:val="404041"/>
          <w:lang w:val="en-US"/>
        </w:rPr>
        <w:t xml:space="preserve"> Bank</w:t>
      </w:r>
      <w:r w:rsidRPr="00746A52">
        <w:rPr>
          <w:rFonts w:asciiTheme="minorHAnsi" w:eastAsia="Times New Roman" w:hAnsiTheme="minorHAnsi" w:cs="Arial"/>
          <w:color w:val="404041"/>
          <w:lang w:val="en-US"/>
        </w:rPr>
        <w:t>.</w:t>
      </w:r>
      <w:r w:rsidR="000F3C67" w:rsidRPr="000F3C67">
        <w:rPr>
          <w:rFonts w:asciiTheme="minorHAnsi" w:eastAsia="Times New Roman" w:hAnsiTheme="minorHAnsi" w:cs="Arial"/>
          <w:color w:val="404041"/>
          <w:lang w:val="en-US"/>
        </w:rPr>
        <w:t xml:space="preserve"> </w:t>
      </w:r>
      <w:hyperlink r:id="rId13" w:history="1">
        <w:r w:rsidR="0009604E" w:rsidRPr="00B22182">
          <w:rPr>
            <w:rStyle w:val="Hyperlink"/>
            <w:rFonts w:asciiTheme="minorHAnsi" w:eastAsia="Times New Roman" w:hAnsiTheme="minorHAnsi" w:cs="Arial"/>
            <w:lang w:val="en-US"/>
          </w:rPr>
          <w:t>http://www.bankofengland.co.uk/markets/Pages/benchmarks/rfr.aspx</w:t>
        </w:r>
      </w:hyperlink>
    </w:p>
    <w:p w:rsidR="00746A52" w:rsidRDefault="000F3C67" w:rsidP="00746A52">
      <w:pPr>
        <w:shd w:val="clear" w:color="auto" w:fill="FFFFFF"/>
        <w:spacing w:after="240" w:line="240" w:lineRule="auto"/>
        <w:rPr>
          <w:rFonts w:asciiTheme="minorHAnsi" w:eastAsia="Times New Roman" w:hAnsiTheme="minorHAnsi" w:cs="Arial"/>
          <w:color w:val="404041"/>
          <w:lang w:val="en-US"/>
        </w:rPr>
      </w:pPr>
      <w:r w:rsidRPr="000F3C67">
        <w:rPr>
          <w:rFonts w:asciiTheme="minorHAnsi" w:eastAsia="Times New Roman" w:hAnsiTheme="minorHAnsi" w:cs="Arial"/>
          <w:color w:val="404041"/>
          <w:lang w:val="en-US"/>
        </w:rPr>
        <w:t xml:space="preserve">An Interim Report was published in May 2016 </w:t>
      </w:r>
      <w:hyperlink r:id="rId14" w:history="1">
        <w:r w:rsidRPr="000F3C67">
          <w:rPr>
            <w:rStyle w:val="Hyperlink"/>
            <w:rFonts w:asciiTheme="minorHAnsi" w:eastAsia="Times New Roman" w:hAnsiTheme="minorHAnsi" w:cs="Arial"/>
            <w:lang w:val="en-US"/>
          </w:rPr>
          <w:t>http://www.bankofengland.co.uk/markets/Documents/sterlingoperations/rfr/2016/rfrwgintrep16.pdf</w:t>
        </w:r>
      </w:hyperlink>
      <w:r w:rsidRPr="000F3C67">
        <w:rPr>
          <w:rFonts w:asciiTheme="minorHAnsi" w:eastAsia="Times New Roman" w:hAnsiTheme="minorHAnsi" w:cs="Arial"/>
          <w:color w:val="404041"/>
          <w:lang w:val="en-US"/>
        </w:rPr>
        <w:t xml:space="preserve"> </w:t>
      </w:r>
      <w:r w:rsidR="00746A52" w:rsidRPr="00746A52">
        <w:rPr>
          <w:rFonts w:asciiTheme="minorHAnsi" w:eastAsia="Times New Roman" w:hAnsiTheme="minorHAnsi" w:cs="Arial"/>
          <w:color w:val="404041"/>
          <w:lang w:val="en-US"/>
        </w:rPr>
        <w:br/>
      </w:r>
      <w:r w:rsidR="00746A52" w:rsidRPr="00746A52">
        <w:rPr>
          <w:rFonts w:asciiTheme="minorHAnsi" w:eastAsia="Times New Roman" w:hAnsiTheme="minorHAnsi" w:cs="Arial"/>
          <w:color w:val="404041"/>
          <w:lang w:val="en-US"/>
        </w:rPr>
        <w:br/>
        <w:t xml:space="preserve">In May 2017, the Working Group announced </w:t>
      </w:r>
      <w:r>
        <w:rPr>
          <w:rFonts w:asciiTheme="minorHAnsi" w:eastAsia="Times New Roman" w:hAnsiTheme="minorHAnsi" w:cs="Arial"/>
          <w:color w:val="404041"/>
          <w:lang w:val="en-US"/>
        </w:rPr>
        <w:t xml:space="preserve">that SONIA was the </w:t>
      </w:r>
      <w:r w:rsidR="00746A52" w:rsidRPr="00746A52">
        <w:rPr>
          <w:rFonts w:asciiTheme="minorHAnsi" w:eastAsia="Times New Roman" w:hAnsiTheme="minorHAnsi" w:cs="Arial"/>
          <w:color w:val="404041"/>
          <w:lang w:val="en-US"/>
        </w:rPr>
        <w:t>preferred near risk-fre</w:t>
      </w:r>
      <w:r>
        <w:rPr>
          <w:rFonts w:asciiTheme="minorHAnsi" w:eastAsia="Times New Roman" w:hAnsiTheme="minorHAnsi" w:cs="Arial"/>
          <w:color w:val="404041"/>
          <w:lang w:val="en-US"/>
        </w:rPr>
        <w:t>e interest rate</w:t>
      </w:r>
      <w:r w:rsidR="00746A52" w:rsidRPr="00746A52">
        <w:rPr>
          <w:rFonts w:asciiTheme="minorHAnsi" w:eastAsia="Times New Roman" w:hAnsiTheme="minorHAnsi" w:cs="Arial"/>
          <w:color w:val="404041"/>
          <w:lang w:val="en-US"/>
        </w:rPr>
        <w:t>.</w:t>
      </w:r>
      <w:r w:rsidR="00746A52" w:rsidRPr="00746A52">
        <w:rPr>
          <w:rFonts w:asciiTheme="minorHAnsi" w:eastAsia="Times New Roman" w:hAnsiTheme="minorHAnsi" w:cs="Arial"/>
          <w:color w:val="404041"/>
          <w:lang w:val="en-US"/>
        </w:rPr>
        <w:br/>
      </w:r>
      <w:hyperlink r:id="rId15" w:history="1">
        <w:r w:rsidRPr="00B22182">
          <w:rPr>
            <w:rStyle w:val="Hyperlink"/>
            <w:rFonts w:asciiTheme="minorHAnsi" w:eastAsia="Times New Roman" w:hAnsiTheme="minorHAnsi" w:cs="Arial"/>
            <w:lang w:val="en-US"/>
          </w:rPr>
          <w:t>http://www.bankofengland.co.uk/markets/Documents/sterlingoperations/rfr/rfrwgwhitepaper0617.pdf</w:t>
        </w:r>
      </w:hyperlink>
      <w:r>
        <w:rPr>
          <w:rFonts w:asciiTheme="minorHAnsi" w:eastAsia="Times New Roman" w:hAnsiTheme="minorHAnsi" w:cs="Arial"/>
          <w:color w:val="404041"/>
          <w:lang w:val="en-US"/>
        </w:rPr>
        <w:t xml:space="preserve"> </w:t>
      </w:r>
    </w:p>
    <w:p w:rsidR="00821552" w:rsidRPr="00352BF5" w:rsidRDefault="000F3C67" w:rsidP="00352BF5">
      <w:pPr>
        <w:shd w:val="clear" w:color="auto" w:fill="FFFFFF"/>
        <w:spacing w:after="240" w:line="240" w:lineRule="auto"/>
        <w:rPr>
          <w:rFonts w:asciiTheme="minorHAnsi" w:eastAsia="Times New Roman" w:hAnsiTheme="minorHAnsi" w:cs="Arial"/>
          <w:color w:val="404041"/>
          <w:lang w:val="en-US"/>
        </w:rPr>
      </w:pPr>
      <w:r w:rsidRPr="000F3C67">
        <w:rPr>
          <w:rFonts w:asciiTheme="minorHAnsi" w:eastAsia="Times New Roman" w:hAnsiTheme="minorHAnsi" w:cs="Arial"/>
          <w:color w:val="404041"/>
          <w:lang w:val="en-US"/>
        </w:rPr>
        <w:t xml:space="preserve">In </w:t>
      </w:r>
      <w:r w:rsidR="0009604E">
        <w:rPr>
          <w:rFonts w:asciiTheme="minorHAnsi" w:eastAsia="Times New Roman" w:hAnsiTheme="minorHAnsi" w:cs="Arial"/>
          <w:color w:val="404041"/>
          <w:lang w:val="en-US"/>
        </w:rPr>
        <w:t xml:space="preserve">a </w:t>
      </w:r>
      <w:r w:rsidRPr="000F3C67">
        <w:rPr>
          <w:rFonts w:asciiTheme="minorHAnsi" w:eastAsia="Times New Roman" w:hAnsiTheme="minorHAnsi" w:cs="Arial"/>
          <w:color w:val="404041"/>
          <w:lang w:val="en-US"/>
        </w:rPr>
        <w:t>July 2017</w:t>
      </w:r>
      <w:r>
        <w:rPr>
          <w:rFonts w:asciiTheme="minorHAnsi" w:eastAsia="Times New Roman" w:hAnsiTheme="minorHAnsi" w:cs="Arial"/>
          <w:color w:val="404041"/>
          <w:lang w:val="en-US"/>
        </w:rPr>
        <w:t xml:space="preserve"> speech</w:t>
      </w:r>
      <w:r w:rsidRPr="000F3C67">
        <w:rPr>
          <w:rFonts w:asciiTheme="minorHAnsi" w:eastAsia="Times New Roman" w:hAnsiTheme="minorHAnsi" w:cs="Arial"/>
          <w:color w:val="404041"/>
          <w:lang w:val="en-US"/>
        </w:rPr>
        <w:t>, Andrew Bailey (FCA Ch</w:t>
      </w:r>
      <w:r>
        <w:rPr>
          <w:rFonts w:asciiTheme="minorHAnsi" w:eastAsia="Times New Roman" w:hAnsiTheme="minorHAnsi" w:cs="Arial"/>
          <w:color w:val="404041"/>
          <w:lang w:val="en-US"/>
        </w:rPr>
        <w:t xml:space="preserve">ief Executive) said </w:t>
      </w:r>
      <w:r w:rsidRPr="000F3C67">
        <w:rPr>
          <w:rFonts w:asciiTheme="minorHAnsi" w:eastAsia="Times New Roman" w:hAnsiTheme="minorHAnsi" w:cs="Arial"/>
          <w:color w:val="404041"/>
          <w:lang w:val="en-US"/>
        </w:rPr>
        <w:t xml:space="preserve">that the FCA </w:t>
      </w:r>
      <w:r w:rsidRPr="000F3C67">
        <w:rPr>
          <w:rFonts w:asciiTheme="minorHAnsi" w:hAnsiTheme="minorHAnsi"/>
          <w:color w:val="3C3C3C"/>
        </w:rPr>
        <w:t>will phase out</w:t>
      </w:r>
      <w:r>
        <w:rPr>
          <w:rFonts w:asciiTheme="minorHAnsi" w:hAnsiTheme="minorHAnsi"/>
          <w:color w:val="3C3C3C"/>
        </w:rPr>
        <w:t xml:space="preserve"> LIBOR by the end of 2021 </w:t>
      </w:r>
      <w:r w:rsidR="006E172C">
        <w:rPr>
          <w:rFonts w:asciiTheme="minorHAnsi" w:hAnsiTheme="minorHAnsi"/>
          <w:color w:val="3C3C3C"/>
        </w:rPr>
        <w:t xml:space="preserve">as </w:t>
      </w:r>
      <w:r>
        <w:rPr>
          <w:rFonts w:asciiTheme="minorHAnsi" w:hAnsiTheme="minorHAnsi"/>
          <w:color w:val="3C3C3C"/>
        </w:rPr>
        <w:t xml:space="preserve">there is </w:t>
      </w:r>
      <w:r w:rsidRPr="000F3C67">
        <w:rPr>
          <w:rFonts w:asciiTheme="minorHAnsi" w:hAnsiTheme="minorHAnsi"/>
          <w:color w:val="3C3C3C"/>
        </w:rPr>
        <w:t>insufficient meaningf</w:t>
      </w:r>
      <w:r>
        <w:rPr>
          <w:rFonts w:asciiTheme="minorHAnsi" w:hAnsiTheme="minorHAnsi"/>
          <w:color w:val="3C3C3C"/>
        </w:rPr>
        <w:t xml:space="preserve">ul </w:t>
      </w:r>
      <w:r w:rsidR="0009604E">
        <w:rPr>
          <w:rFonts w:asciiTheme="minorHAnsi" w:hAnsiTheme="minorHAnsi"/>
          <w:color w:val="3C3C3C"/>
        </w:rPr>
        <w:t xml:space="preserve">data </w:t>
      </w:r>
      <w:r>
        <w:rPr>
          <w:rFonts w:asciiTheme="minorHAnsi" w:hAnsiTheme="minorHAnsi"/>
          <w:color w:val="3C3C3C"/>
        </w:rPr>
        <w:t xml:space="preserve">upon which to base submissions. </w:t>
      </w:r>
      <w:hyperlink r:id="rId16" w:history="1">
        <w:r w:rsidRPr="00B22182">
          <w:rPr>
            <w:rStyle w:val="Hyperlink"/>
            <w:rFonts w:asciiTheme="minorHAnsi" w:eastAsia="Times New Roman" w:hAnsiTheme="minorHAnsi" w:cs="Arial"/>
            <w:lang w:val="en-US"/>
          </w:rPr>
          <w:t>https://www.fca.org.uk/news/speeches/the-future-of-libor</w:t>
        </w:r>
      </w:hyperlink>
      <w:r>
        <w:rPr>
          <w:rFonts w:asciiTheme="minorHAnsi" w:eastAsia="Times New Roman" w:hAnsiTheme="minorHAnsi" w:cs="Arial"/>
          <w:color w:val="404041"/>
          <w:lang w:val="en-US"/>
        </w:rPr>
        <w:t xml:space="preserve"> </w:t>
      </w:r>
    </w:p>
    <w:p w:rsidR="00821552" w:rsidRDefault="00821552" w:rsidP="00821552">
      <w:pPr>
        <w:shd w:val="clear" w:color="auto" w:fill="FFFFFF"/>
        <w:spacing w:before="60" w:after="180" w:line="336" w:lineRule="atLeast"/>
        <w:rPr>
          <w:rFonts w:asciiTheme="minorHAnsi" w:eastAsia="Times New Roman" w:hAnsiTheme="minorHAnsi" w:cs="Arial"/>
          <w:u w:val="single"/>
        </w:rPr>
      </w:pPr>
      <w:r>
        <w:rPr>
          <w:rFonts w:asciiTheme="minorHAnsi" w:eastAsia="Times New Roman" w:hAnsiTheme="minorHAnsi" w:cs="Arial"/>
          <w:u w:val="single"/>
        </w:rPr>
        <w:t>Global</w:t>
      </w:r>
    </w:p>
    <w:p w:rsidR="00821552" w:rsidRPr="00977418" w:rsidRDefault="00821552" w:rsidP="00821552">
      <w:pPr>
        <w:shd w:val="clear" w:color="auto" w:fill="FFFFFF"/>
        <w:spacing w:after="0" w:line="312" w:lineRule="atLeast"/>
        <w:textAlignment w:val="baseline"/>
        <w:rPr>
          <w:rFonts w:asciiTheme="minorHAnsi" w:eastAsia="Times New Roman" w:hAnsiTheme="minorHAnsi" w:cs="Arial"/>
        </w:rPr>
      </w:pPr>
      <w:r w:rsidRPr="00977418">
        <w:rPr>
          <w:rFonts w:asciiTheme="minorHAnsi" w:eastAsia="Times New Roman" w:hAnsiTheme="minorHAnsi" w:cs="Arial"/>
        </w:rPr>
        <w:t>ISDA held a webinar in August 201</w:t>
      </w:r>
      <w:r w:rsidR="00E70D9D">
        <w:rPr>
          <w:rFonts w:asciiTheme="minorHAnsi" w:eastAsia="Times New Roman" w:hAnsiTheme="minorHAnsi" w:cs="Arial"/>
        </w:rPr>
        <w:t xml:space="preserve">7 to provide an overview of </w:t>
      </w:r>
      <w:r w:rsidRPr="00977418">
        <w:rPr>
          <w:rFonts w:asciiTheme="minorHAnsi" w:eastAsia="Times New Roman" w:hAnsiTheme="minorHAnsi" w:cs="Arial"/>
        </w:rPr>
        <w:t>work to address risks in derivatives contracts of a perma</w:t>
      </w:r>
      <w:r w:rsidR="006E172C">
        <w:rPr>
          <w:rFonts w:asciiTheme="minorHAnsi" w:eastAsia="Times New Roman" w:hAnsiTheme="minorHAnsi" w:cs="Arial"/>
        </w:rPr>
        <w:t xml:space="preserve">nent discontinuation of </w:t>
      </w:r>
      <w:r w:rsidRPr="00977418">
        <w:rPr>
          <w:rFonts w:asciiTheme="minorHAnsi" w:eastAsia="Times New Roman" w:hAnsiTheme="minorHAnsi" w:cs="Arial"/>
        </w:rPr>
        <w:t>key IBOR rates</w:t>
      </w:r>
      <w:r w:rsidR="00233F81">
        <w:rPr>
          <w:rFonts w:asciiTheme="minorHAnsi" w:eastAsia="Times New Roman" w:hAnsiTheme="minorHAnsi" w:cs="Arial"/>
        </w:rPr>
        <w:t xml:space="preserve"> (IOSCO Principle #13)</w:t>
      </w:r>
      <w:r w:rsidRPr="00977418">
        <w:rPr>
          <w:rFonts w:asciiTheme="minorHAnsi" w:eastAsia="Times New Roman" w:hAnsiTheme="minorHAnsi" w:cs="Arial"/>
        </w:rPr>
        <w:t xml:space="preserve">. </w:t>
      </w:r>
    </w:p>
    <w:p w:rsidR="00821552" w:rsidRDefault="00D4694F" w:rsidP="00821552">
      <w:pPr>
        <w:spacing w:after="160" w:line="259" w:lineRule="auto"/>
        <w:rPr>
          <w:rFonts w:asciiTheme="minorHAnsi" w:hAnsiTheme="minorHAnsi" w:cstheme="minorBidi"/>
          <w:lang w:eastAsia="en-US"/>
        </w:rPr>
      </w:pPr>
      <w:hyperlink r:id="rId17" w:history="1">
        <w:r w:rsidR="00821552" w:rsidRPr="00977418">
          <w:rPr>
            <w:rFonts w:asciiTheme="minorHAnsi" w:hAnsiTheme="minorHAnsi" w:cstheme="minorBidi"/>
            <w:color w:val="0563C1" w:themeColor="hyperlink"/>
            <w:u w:val="single"/>
            <w:lang w:eastAsia="en-US"/>
          </w:rPr>
          <w:t>http://www2.isda.org/search?headerSearch=1&amp;keyword=libor</w:t>
        </w:r>
      </w:hyperlink>
      <w:r w:rsidR="00821552" w:rsidRPr="00977418">
        <w:rPr>
          <w:rFonts w:asciiTheme="minorHAnsi" w:hAnsiTheme="minorHAnsi" w:cstheme="minorBidi"/>
          <w:lang w:eastAsia="en-US"/>
        </w:rPr>
        <w:t xml:space="preserve"> </w:t>
      </w:r>
    </w:p>
    <w:p w:rsidR="00821552" w:rsidRDefault="00821552" w:rsidP="00821552">
      <w:pPr>
        <w:rPr>
          <w:rFonts w:asciiTheme="minorHAnsi" w:hAnsiTheme="minorHAnsi" w:cstheme="minorBidi"/>
          <w:lang w:eastAsia="en-US"/>
        </w:rPr>
      </w:pPr>
      <w:r>
        <w:rPr>
          <w:rFonts w:asciiTheme="minorHAnsi" w:hAnsiTheme="minorHAnsi" w:cstheme="minorBidi"/>
          <w:lang w:eastAsia="en-US"/>
        </w:rPr>
        <w:t xml:space="preserve">ICMA has been engaged in analysis of the documentation challenges in shifting from LIBOR, and sponsored a call for its members in September 2017. </w:t>
      </w:r>
      <w:hyperlink r:id="rId18" w:history="1">
        <w:r w:rsidRPr="00977418">
          <w:rPr>
            <w:rFonts w:asciiTheme="minorHAnsi" w:hAnsiTheme="minorHAnsi" w:cstheme="minorBidi"/>
            <w:color w:val="0563C1" w:themeColor="hyperlink"/>
            <w:u w:val="single"/>
            <w:lang w:eastAsia="en-US"/>
          </w:rPr>
          <w:t>https://www.icmagroup.org/events/PastEvents/briefing-call-for-icma-members-benchmark-reform-and-the-future-of-libor-implications-for-the-primary-bond-markets/</w:t>
        </w:r>
      </w:hyperlink>
      <w:r w:rsidRPr="00977418">
        <w:rPr>
          <w:rFonts w:asciiTheme="minorHAnsi" w:hAnsiTheme="minorHAnsi" w:cstheme="minorBidi"/>
          <w:lang w:eastAsia="en-US"/>
        </w:rPr>
        <w:t xml:space="preserve"> </w:t>
      </w:r>
    </w:p>
    <w:p w:rsidR="00977418" w:rsidRDefault="00977418" w:rsidP="00917DD0">
      <w:pPr>
        <w:shd w:val="clear" w:color="auto" w:fill="FFFFFF"/>
        <w:spacing w:before="60" w:after="180" w:line="336" w:lineRule="atLeast"/>
        <w:rPr>
          <w:rFonts w:asciiTheme="minorHAnsi" w:eastAsia="Times New Roman" w:hAnsiTheme="minorHAnsi" w:cs="Arial"/>
          <w:u w:val="single"/>
        </w:rPr>
      </w:pPr>
    </w:p>
    <w:p w:rsidR="00821552" w:rsidRDefault="00821552" w:rsidP="00821552">
      <w:pPr>
        <w:rPr>
          <w:b/>
          <w:color w:val="2F5496" w:themeColor="accent5" w:themeShade="BF"/>
          <w:sz w:val="28"/>
          <w:szCs w:val="28"/>
        </w:rPr>
      </w:pPr>
      <w:r>
        <w:rPr>
          <w:b/>
          <w:color w:val="2F5496" w:themeColor="accent5" w:themeShade="BF"/>
          <w:sz w:val="28"/>
          <w:szCs w:val="28"/>
        </w:rPr>
        <w:t>U.S.</w:t>
      </w:r>
    </w:p>
    <w:p w:rsidR="00015BBA" w:rsidRDefault="00F07A7A" w:rsidP="00015BBA">
      <w:pPr>
        <w:pStyle w:val="NormalWeb"/>
        <w:spacing w:line="312" w:lineRule="atLeast"/>
        <w:rPr>
          <w:rFonts w:asciiTheme="minorHAnsi" w:hAnsiTheme="minorHAnsi" w:cs="Arial"/>
          <w:color w:val="555555"/>
          <w:sz w:val="22"/>
          <w:szCs w:val="22"/>
        </w:rPr>
      </w:pPr>
      <w:r w:rsidRPr="00CF6797">
        <w:rPr>
          <w:rFonts w:asciiTheme="minorHAnsi" w:hAnsiTheme="minorHAnsi" w:cs="Arial"/>
          <w:sz w:val="22"/>
          <w:szCs w:val="22"/>
        </w:rPr>
        <w:t>In November 2014, The Federal Reserve convened the first meeting of the</w:t>
      </w:r>
      <w:r w:rsidR="00015BBA" w:rsidRPr="00CF6797">
        <w:rPr>
          <w:rFonts w:asciiTheme="minorHAnsi" w:hAnsiTheme="minorHAnsi" w:cs="Arial"/>
          <w:sz w:val="22"/>
          <w:szCs w:val="22"/>
        </w:rPr>
        <w:t xml:space="preserve"> Alternative R</w:t>
      </w:r>
      <w:r w:rsidR="006E172C">
        <w:rPr>
          <w:rFonts w:asciiTheme="minorHAnsi" w:hAnsiTheme="minorHAnsi" w:cs="Arial"/>
          <w:sz w:val="22"/>
          <w:szCs w:val="22"/>
        </w:rPr>
        <w:t xml:space="preserve">eference Rates Committee.  The ARRC </w:t>
      </w:r>
      <w:r w:rsidRPr="00CF6797">
        <w:rPr>
          <w:rFonts w:asciiTheme="minorHAnsi" w:hAnsiTheme="minorHAnsi" w:cs="Arial"/>
          <w:sz w:val="22"/>
          <w:szCs w:val="22"/>
        </w:rPr>
        <w:t xml:space="preserve">was established </w:t>
      </w:r>
      <w:r w:rsidR="00015BBA" w:rsidRPr="00CF6797">
        <w:rPr>
          <w:rFonts w:asciiTheme="minorHAnsi" w:hAnsiTheme="minorHAnsi" w:cs="Arial"/>
          <w:sz w:val="22"/>
          <w:szCs w:val="22"/>
        </w:rPr>
        <w:t xml:space="preserve">to </w:t>
      </w:r>
      <w:r w:rsidRPr="00CF6797">
        <w:rPr>
          <w:rFonts w:asciiTheme="minorHAnsi" w:hAnsiTheme="minorHAnsi" w:cs="Arial"/>
          <w:sz w:val="22"/>
          <w:szCs w:val="22"/>
        </w:rPr>
        <w:t xml:space="preserve">identify </w:t>
      </w:r>
      <w:r w:rsidR="00015BBA" w:rsidRPr="00CF6797">
        <w:rPr>
          <w:rFonts w:asciiTheme="minorHAnsi" w:hAnsiTheme="minorHAnsi" w:cs="Arial"/>
          <w:sz w:val="22"/>
          <w:szCs w:val="22"/>
        </w:rPr>
        <w:t>alternative r</w:t>
      </w:r>
      <w:r w:rsidR="006E172C">
        <w:rPr>
          <w:rFonts w:asciiTheme="minorHAnsi" w:hAnsiTheme="minorHAnsi" w:cs="Arial"/>
          <w:sz w:val="22"/>
          <w:szCs w:val="22"/>
        </w:rPr>
        <w:t>eference interest rates based more firmly</w:t>
      </w:r>
      <w:r w:rsidR="00015BBA" w:rsidRPr="00CF6797">
        <w:rPr>
          <w:rFonts w:asciiTheme="minorHAnsi" w:hAnsiTheme="minorHAnsi" w:cs="Arial"/>
          <w:sz w:val="22"/>
          <w:szCs w:val="22"/>
        </w:rPr>
        <w:t xml:space="preserve"> on transactions from a robust underlying m</w:t>
      </w:r>
      <w:r w:rsidRPr="00CF6797">
        <w:rPr>
          <w:rFonts w:asciiTheme="minorHAnsi" w:hAnsiTheme="minorHAnsi" w:cs="Arial"/>
          <w:sz w:val="22"/>
          <w:szCs w:val="22"/>
        </w:rPr>
        <w:t>arket</w:t>
      </w:r>
      <w:r w:rsidR="006E172C">
        <w:rPr>
          <w:rFonts w:asciiTheme="minorHAnsi" w:hAnsiTheme="minorHAnsi" w:cs="Arial"/>
          <w:sz w:val="22"/>
          <w:szCs w:val="22"/>
        </w:rPr>
        <w:t>,</w:t>
      </w:r>
      <w:r w:rsidRPr="00CF6797">
        <w:rPr>
          <w:rFonts w:asciiTheme="minorHAnsi" w:hAnsiTheme="minorHAnsi" w:cs="Arial"/>
          <w:sz w:val="22"/>
          <w:szCs w:val="22"/>
        </w:rPr>
        <w:t xml:space="preserve"> and develop an implementation plan.</w:t>
      </w:r>
      <w:r w:rsidR="006E172C">
        <w:rPr>
          <w:rFonts w:asciiTheme="minorHAnsi" w:hAnsiTheme="minorHAnsi" w:cs="Arial"/>
          <w:sz w:val="22"/>
          <w:szCs w:val="22"/>
        </w:rPr>
        <w:t xml:space="preserve"> Members</w:t>
      </w:r>
      <w:r w:rsidR="00CF6797" w:rsidRPr="00CF6797">
        <w:rPr>
          <w:rFonts w:asciiTheme="minorHAnsi" w:hAnsiTheme="minorHAnsi" w:cs="Arial"/>
          <w:sz w:val="22"/>
          <w:szCs w:val="22"/>
        </w:rPr>
        <w:t xml:space="preserve"> are major over-the-counter (OTC) der</w:t>
      </w:r>
      <w:r w:rsidR="006E172C">
        <w:rPr>
          <w:rFonts w:asciiTheme="minorHAnsi" w:hAnsiTheme="minorHAnsi" w:cs="Arial"/>
          <w:sz w:val="22"/>
          <w:szCs w:val="22"/>
        </w:rPr>
        <w:t>ivatives market firms</w:t>
      </w:r>
      <w:r w:rsidR="00CF6797" w:rsidRPr="00CF6797">
        <w:rPr>
          <w:rFonts w:asciiTheme="minorHAnsi" w:hAnsiTheme="minorHAnsi" w:cs="Arial"/>
          <w:sz w:val="22"/>
          <w:szCs w:val="22"/>
        </w:rPr>
        <w:t>.</w:t>
      </w:r>
      <w:r>
        <w:rPr>
          <w:rFonts w:asciiTheme="minorHAnsi" w:hAnsiTheme="minorHAnsi" w:cs="Arial"/>
          <w:color w:val="555555"/>
          <w:sz w:val="22"/>
          <w:szCs w:val="22"/>
        </w:rPr>
        <w:t xml:space="preserve"> </w:t>
      </w:r>
      <w:r w:rsidR="00015BBA" w:rsidRPr="00F07A7A">
        <w:rPr>
          <w:rFonts w:asciiTheme="minorHAnsi" w:hAnsiTheme="minorHAnsi" w:cs="Arial"/>
          <w:color w:val="555555"/>
          <w:sz w:val="22"/>
          <w:szCs w:val="22"/>
        </w:rPr>
        <w:t xml:space="preserve"> </w:t>
      </w:r>
      <w:hyperlink r:id="rId19" w:history="1">
        <w:r w:rsidRPr="00B22182">
          <w:rPr>
            <w:rStyle w:val="Hyperlink"/>
            <w:rFonts w:asciiTheme="minorHAnsi" w:hAnsiTheme="minorHAnsi" w:cs="Arial"/>
            <w:sz w:val="22"/>
            <w:szCs w:val="22"/>
          </w:rPr>
          <w:t>https://www.newyorkfed.org/arrc</w:t>
        </w:r>
      </w:hyperlink>
      <w:r>
        <w:rPr>
          <w:rFonts w:asciiTheme="minorHAnsi" w:hAnsiTheme="minorHAnsi" w:cs="Arial"/>
          <w:color w:val="555555"/>
          <w:sz w:val="22"/>
          <w:szCs w:val="22"/>
        </w:rPr>
        <w:t xml:space="preserve"> </w:t>
      </w:r>
    </w:p>
    <w:p w:rsidR="00CF6797" w:rsidRPr="004C19DD" w:rsidRDefault="004C19DD" w:rsidP="00CF6797">
      <w:pPr>
        <w:pStyle w:val="NormalWeb"/>
        <w:spacing w:line="312" w:lineRule="atLeast"/>
        <w:rPr>
          <w:rFonts w:asciiTheme="minorHAnsi" w:hAnsiTheme="minorHAnsi"/>
          <w:sz w:val="22"/>
          <w:szCs w:val="22"/>
        </w:rPr>
      </w:pPr>
      <w:r w:rsidRPr="004C19DD">
        <w:rPr>
          <w:rFonts w:asciiTheme="minorHAnsi" w:hAnsiTheme="minorHAnsi"/>
          <w:sz w:val="22"/>
          <w:szCs w:val="22"/>
        </w:rPr>
        <w:t xml:space="preserve">In May 2016, the ARRC </w:t>
      </w:r>
      <w:r w:rsidR="00CF6797" w:rsidRPr="004C19DD">
        <w:rPr>
          <w:rFonts w:asciiTheme="minorHAnsi" w:hAnsiTheme="minorHAnsi"/>
          <w:sz w:val="22"/>
          <w:szCs w:val="22"/>
        </w:rPr>
        <w:t>released an Interim Report summarising two leading alternative</w:t>
      </w:r>
      <w:r w:rsidR="006E172C">
        <w:rPr>
          <w:rFonts w:asciiTheme="minorHAnsi" w:hAnsiTheme="minorHAnsi"/>
          <w:sz w:val="22"/>
          <w:szCs w:val="22"/>
        </w:rPr>
        <w:t>s</w:t>
      </w:r>
      <w:r w:rsidR="00CF6797" w:rsidRPr="004C19DD">
        <w:rPr>
          <w:rFonts w:asciiTheme="minorHAnsi" w:hAnsiTheme="minorHAnsi"/>
          <w:sz w:val="22"/>
          <w:szCs w:val="22"/>
        </w:rPr>
        <w:t xml:space="preserve"> to U.S. dollar LIBOR: the Overnight Bank Funding Rate (OBFR) and an overnight Treasury general collateral repo rate.  Both rates represent und</w:t>
      </w:r>
      <w:r w:rsidR="001D7258">
        <w:rPr>
          <w:rFonts w:asciiTheme="minorHAnsi" w:hAnsiTheme="minorHAnsi"/>
          <w:sz w:val="22"/>
          <w:szCs w:val="22"/>
        </w:rPr>
        <w:t xml:space="preserve">erlying markets with </w:t>
      </w:r>
      <w:r w:rsidR="00CF6797" w:rsidRPr="004C19DD">
        <w:rPr>
          <w:rFonts w:asciiTheme="minorHAnsi" w:hAnsiTheme="minorHAnsi"/>
          <w:sz w:val="22"/>
          <w:szCs w:val="22"/>
        </w:rPr>
        <w:t xml:space="preserve">sizable daily transaction volumes.   </w:t>
      </w:r>
    </w:p>
    <w:p w:rsidR="004C19DD" w:rsidRPr="004C19DD" w:rsidRDefault="00CF6797" w:rsidP="004C19DD">
      <w:pPr>
        <w:pStyle w:val="NormalWeb"/>
        <w:spacing w:line="312" w:lineRule="atLeast"/>
        <w:rPr>
          <w:rFonts w:asciiTheme="minorHAnsi" w:hAnsiTheme="minorHAnsi"/>
          <w:sz w:val="22"/>
          <w:szCs w:val="22"/>
        </w:rPr>
      </w:pPr>
      <w:r w:rsidRPr="004C19DD">
        <w:rPr>
          <w:rFonts w:asciiTheme="minorHAnsi" w:hAnsiTheme="minorHAnsi"/>
          <w:sz w:val="22"/>
          <w:szCs w:val="22"/>
        </w:rPr>
        <w:t>The ARRC prop</w:t>
      </w:r>
      <w:r w:rsidR="004C19DD" w:rsidRPr="004C19DD">
        <w:rPr>
          <w:rFonts w:asciiTheme="minorHAnsi" w:hAnsiTheme="minorHAnsi"/>
          <w:sz w:val="22"/>
          <w:szCs w:val="22"/>
        </w:rPr>
        <w:t>osed</w:t>
      </w:r>
      <w:r w:rsidR="004C19DD">
        <w:rPr>
          <w:rFonts w:asciiTheme="minorHAnsi" w:hAnsiTheme="minorHAnsi"/>
          <w:sz w:val="22"/>
          <w:szCs w:val="22"/>
        </w:rPr>
        <w:t xml:space="preserve"> a “paced transition” strategy</w:t>
      </w:r>
      <w:r w:rsidR="006E172C">
        <w:rPr>
          <w:rFonts w:asciiTheme="minorHAnsi" w:hAnsiTheme="minorHAnsi"/>
          <w:sz w:val="22"/>
          <w:szCs w:val="22"/>
        </w:rPr>
        <w:t xml:space="preserve"> as </w:t>
      </w:r>
      <w:r w:rsidRPr="004C19DD">
        <w:rPr>
          <w:rFonts w:asciiTheme="minorHAnsi" w:hAnsiTheme="minorHAnsi"/>
          <w:sz w:val="22"/>
          <w:szCs w:val="22"/>
        </w:rPr>
        <w:t>a first step in creating a liquid m</w:t>
      </w:r>
      <w:r w:rsidR="004C19DD">
        <w:rPr>
          <w:rFonts w:asciiTheme="minorHAnsi" w:hAnsiTheme="minorHAnsi"/>
          <w:sz w:val="22"/>
          <w:szCs w:val="22"/>
        </w:rPr>
        <w:t>arket for the alternative rate.  The OBFR was first</w:t>
      </w:r>
      <w:r w:rsidRPr="004C19DD">
        <w:rPr>
          <w:rFonts w:asciiTheme="minorHAnsi" w:hAnsiTheme="minorHAnsi"/>
          <w:sz w:val="22"/>
          <w:szCs w:val="22"/>
        </w:rPr>
        <w:t xml:space="preserve"> published in March 2016 and is calculated using federal funds transaction data as well as certain overnight Eurodollar transaction data reported in the FR 2420 data collection. </w:t>
      </w:r>
      <w:hyperlink r:id="rId20" w:history="1">
        <w:r w:rsidRPr="00B22182">
          <w:rPr>
            <w:rStyle w:val="Hyperlink"/>
            <w:rFonts w:asciiTheme="minorHAnsi" w:hAnsiTheme="minorHAnsi" w:cs="Arial"/>
            <w:sz w:val="22"/>
            <w:szCs w:val="22"/>
          </w:rPr>
          <w:t>https://www.newyorkfed.org/arrc/publications</w:t>
        </w:r>
      </w:hyperlink>
      <w:r>
        <w:rPr>
          <w:rFonts w:asciiTheme="minorHAnsi" w:hAnsiTheme="minorHAnsi" w:cs="Arial"/>
          <w:color w:val="555555"/>
          <w:sz w:val="22"/>
          <w:szCs w:val="22"/>
        </w:rPr>
        <w:t xml:space="preserve"> </w:t>
      </w:r>
    </w:p>
    <w:p w:rsidR="00F07A7A" w:rsidRPr="004C19DD" w:rsidRDefault="004C19DD" w:rsidP="004C19DD">
      <w:pPr>
        <w:pStyle w:val="NormalWeb"/>
        <w:spacing w:line="312" w:lineRule="atLeast"/>
        <w:rPr>
          <w:rFonts w:asciiTheme="minorHAnsi" w:hAnsiTheme="minorHAnsi" w:cs="Arial"/>
          <w:sz w:val="22"/>
          <w:szCs w:val="22"/>
        </w:rPr>
      </w:pPr>
      <w:r w:rsidRPr="004C19DD">
        <w:rPr>
          <w:rFonts w:asciiTheme="minorHAnsi" w:hAnsiTheme="minorHAnsi" w:cs="Arial"/>
          <w:sz w:val="22"/>
          <w:szCs w:val="22"/>
        </w:rPr>
        <w:t>At its June 2017</w:t>
      </w:r>
      <w:r>
        <w:rPr>
          <w:rFonts w:asciiTheme="minorHAnsi" w:hAnsiTheme="minorHAnsi" w:cs="Arial"/>
          <w:sz w:val="22"/>
          <w:szCs w:val="22"/>
        </w:rPr>
        <w:t xml:space="preserve"> meeting, the ARRC</w:t>
      </w:r>
      <w:r w:rsidRPr="004C19DD">
        <w:rPr>
          <w:rFonts w:asciiTheme="minorHAnsi" w:hAnsiTheme="minorHAnsi" w:cs="Arial"/>
          <w:sz w:val="22"/>
          <w:szCs w:val="22"/>
        </w:rPr>
        <w:t xml:space="preserve"> identified a broad Treasuries</w:t>
      </w:r>
      <w:r w:rsidR="00622A96">
        <w:rPr>
          <w:rFonts w:asciiTheme="minorHAnsi" w:hAnsiTheme="minorHAnsi" w:cs="Arial"/>
          <w:sz w:val="22"/>
          <w:szCs w:val="22"/>
        </w:rPr>
        <w:t xml:space="preserve"> repo financing rate to be published by the Fed</w:t>
      </w:r>
      <w:r w:rsidRPr="004C19DD">
        <w:rPr>
          <w:rFonts w:asciiTheme="minorHAnsi" w:hAnsiTheme="minorHAnsi" w:cs="Arial"/>
          <w:sz w:val="22"/>
          <w:szCs w:val="22"/>
        </w:rPr>
        <w:t xml:space="preserve"> in cooperation with the </w:t>
      </w:r>
      <w:r w:rsidR="006E172C">
        <w:rPr>
          <w:rFonts w:asciiTheme="minorHAnsi" w:hAnsiTheme="minorHAnsi" w:cs="Arial"/>
          <w:sz w:val="22"/>
          <w:szCs w:val="22"/>
        </w:rPr>
        <w:t>Office of Financial Research</w:t>
      </w:r>
      <w:r>
        <w:rPr>
          <w:rFonts w:asciiTheme="minorHAnsi" w:hAnsiTheme="minorHAnsi" w:cs="Arial"/>
          <w:sz w:val="22"/>
          <w:szCs w:val="22"/>
        </w:rPr>
        <w:t>.</w:t>
      </w:r>
      <w:r w:rsidR="006E172C">
        <w:rPr>
          <w:rFonts w:asciiTheme="minorHAnsi" w:hAnsiTheme="minorHAnsi" w:cs="Arial"/>
          <w:sz w:val="22"/>
          <w:szCs w:val="22"/>
        </w:rPr>
        <w:t xml:space="preserve"> </w:t>
      </w:r>
      <w:r w:rsidR="001D7258">
        <w:t xml:space="preserve"> </w:t>
      </w:r>
      <w:r w:rsidR="001D7258" w:rsidRPr="001D7258">
        <w:rPr>
          <w:rFonts w:asciiTheme="minorHAnsi" w:hAnsiTheme="minorHAnsi"/>
          <w:sz w:val="22"/>
          <w:szCs w:val="22"/>
        </w:rPr>
        <w:t>This rate, in its consensus view, represents best practice for use in certain new U.S. dollar derivatives and other financial contracts.</w:t>
      </w:r>
      <w:r w:rsidR="001D7258">
        <w:t xml:space="preserve"> </w:t>
      </w:r>
      <w:r w:rsidRPr="004C19DD">
        <w:rPr>
          <w:rFonts w:asciiTheme="minorHAnsi" w:hAnsiTheme="minorHAnsi" w:cs="Arial"/>
          <w:sz w:val="22"/>
          <w:szCs w:val="22"/>
        </w:rPr>
        <w:t>The ARRC plans to publish its final report later this year before implementation is expected to begin.</w:t>
      </w:r>
      <w:r>
        <w:rPr>
          <w:rFonts w:asciiTheme="minorHAnsi" w:hAnsiTheme="minorHAnsi" w:cs="Arial"/>
          <w:sz w:val="22"/>
          <w:szCs w:val="22"/>
        </w:rPr>
        <w:t xml:space="preserve">  </w:t>
      </w:r>
      <w:hyperlink r:id="rId21" w:history="1">
        <w:r w:rsidRPr="00B22182">
          <w:rPr>
            <w:rStyle w:val="Hyperlink"/>
            <w:rFonts w:asciiTheme="minorHAnsi" w:hAnsiTheme="minorHAnsi" w:cs="Arial"/>
            <w:sz w:val="22"/>
            <w:szCs w:val="22"/>
          </w:rPr>
          <w:t>https://www.newyorkfed.org/medialibrary/microsites/arrc/files/2017/ARRC-press-release-Jun-22-2017.pdf</w:t>
        </w:r>
      </w:hyperlink>
      <w:r>
        <w:rPr>
          <w:rFonts w:asciiTheme="minorHAnsi" w:hAnsiTheme="minorHAnsi" w:cs="Arial"/>
          <w:sz w:val="22"/>
          <w:szCs w:val="22"/>
        </w:rPr>
        <w:t xml:space="preserve"> </w:t>
      </w:r>
    </w:p>
    <w:p w:rsidR="00352BF5" w:rsidRDefault="00352BF5" w:rsidP="00821552">
      <w:pPr>
        <w:rPr>
          <w:b/>
          <w:color w:val="2F5496" w:themeColor="accent5" w:themeShade="BF"/>
          <w:sz w:val="28"/>
          <w:szCs w:val="28"/>
        </w:rPr>
      </w:pPr>
    </w:p>
    <w:p w:rsidR="00663B68" w:rsidRDefault="00821552" w:rsidP="00663B68">
      <w:pPr>
        <w:pStyle w:val="Default"/>
        <w:rPr>
          <w:b/>
          <w:color w:val="2F5496" w:themeColor="accent5" w:themeShade="BF"/>
          <w:sz w:val="28"/>
          <w:szCs w:val="28"/>
        </w:rPr>
      </w:pPr>
      <w:r w:rsidRPr="00F94490">
        <w:rPr>
          <w:rFonts w:asciiTheme="minorHAnsi" w:hAnsiTheme="minorHAnsi"/>
          <w:b/>
          <w:color w:val="1F4E79" w:themeColor="accent1" w:themeShade="80"/>
          <w:sz w:val="28"/>
          <w:szCs w:val="28"/>
        </w:rPr>
        <w:t>EURIBOR</w:t>
      </w:r>
    </w:p>
    <w:p w:rsidR="00663B68" w:rsidRPr="00663B68" w:rsidRDefault="00663B68" w:rsidP="00663B68">
      <w:pPr>
        <w:pStyle w:val="Default"/>
        <w:rPr>
          <w:b/>
          <w:color w:val="2F5496" w:themeColor="accent5" w:themeShade="BF"/>
          <w:sz w:val="28"/>
          <w:szCs w:val="28"/>
        </w:rPr>
      </w:pPr>
    </w:p>
    <w:p w:rsidR="00663B68" w:rsidRPr="00663B68" w:rsidRDefault="00663B68" w:rsidP="00504CE8">
      <w:pPr>
        <w:pStyle w:val="Default"/>
        <w:rPr>
          <w:rFonts w:asciiTheme="minorHAnsi" w:hAnsiTheme="minorHAnsi"/>
          <w:color w:val="auto"/>
          <w:sz w:val="22"/>
          <w:szCs w:val="22"/>
        </w:rPr>
      </w:pPr>
      <w:r w:rsidRPr="00663B68">
        <w:rPr>
          <w:rFonts w:asciiTheme="minorHAnsi" w:hAnsiTheme="minorHAnsi"/>
          <w:color w:val="auto"/>
          <w:sz w:val="22"/>
          <w:szCs w:val="22"/>
        </w:rPr>
        <w:t>Following a consultation in February 2013:</w:t>
      </w:r>
    </w:p>
    <w:p w:rsidR="00663B68" w:rsidRPr="00663B68" w:rsidRDefault="00663B68" w:rsidP="00663B68">
      <w:pPr>
        <w:pStyle w:val="Default"/>
        <w:numPr>
          <w:ilvl w:val="0"/>
          <w:numId w:val="1"/>
        </w:numPr>
        <w:rPr>
          <w:rFonts w:asciiTheme="minorHAnsi" w:hAnsiTheme="minorHAnsi"/>
          <w:color w:val="auto"/>
          <w:sz w:val="22"/>
          <w:szCs w:val="22"/>
        </w:rPr>
      </w:pPr>
      <w:r w:rsidRPr="00663B68">
        <w:rPr>
          <w:rFonts w:asciiTheme="minorHAnsi" w:hAnsiTheme="minorHAnsi"/>
          <w:color w:val="auto"/>
          <w:sz w:val="22"/>
          <w:szCs w:val="22"/>
        </w:rPr>
        <w:t>The </w:t>
      </w:r>
      <w:hyperlink r:id="rId22" w:tgtFrame="_blank" w:tooltip="COPB" w:history="1">
        <w:r w:rsidRPr="00663B68">
          <w:rPr>
            <w:rFonts w:asciiTheme="minorHAnsi" w:hAnsiTheme="minorHAnsi"/>
            <w:color w:val="auto"/>
            <w:sz w:val="22"/>
            <w:szCs w:val="22"/>
          </w:rPr>
          <w:t>Code of Obligations for Panel Banks (COPB)</w:t>
        </w:r>
      </w:hyperlink>
      <w:r w:rsidRPr="00663B68">
        <w:rPr>
          <w:rFonts w:asciiTheme="minorHAnsi" w:hAnsiTheme="minorHAnsi"/>
          <w:color w:val="auto"/>
          <w:sz w:val="22"/>
          <w:szCs w:val="22"/>
        </w:rPr>
        <w:t xml:space="preserve"> was adopted</w:t>
      </w:r>
    </w:p>
    <w:p w:rsidR="00663B68" w:rsidRPr="00663B68" w:rsidRDefault="00663B68" w:rsidP="00663B68">
      <w:pPr>
        <w:pStyle w:val="Default"/>
        <w:numPr>
          <w:ilvl w:val="0"/>
          <w:numId w:val="1"/>
        </w:numPr>
        <w:rPr>
          <w:rFonts w:asciiTheme="minorHAnsi" w:hAnsiTheme="minorHAnsi"/>
          <w:color w:val="auto"/>
          <w:sz w:val="22"/>
          <w:szCs w:val="22"/>
        </w:rPr>
      </w:pPr>
      <w:r w:rsidRPr="00663B68">
        <w:rPr>
          <w:rFonts w:asciiTheme="minorHAnsi" w:hAnsiTheme="minorHAnsi"/>
          <w:color w:val="auto"/>
          <w:sz w:val="22"/>
          <w:szCs w:val="22"/>
        </w:rPr>
        <w:t>Definitions of EURIBOR were clarified</w:t>
      </w:r>
    </w:p>
    <w:p w:rsidR="00663B68" w:rsidRPr="00663B68" w:rsidRDefault="00663B68" w:rsidP="00663B68">
      <w:pPr>
        <w:pStyle w:val="Default"/>
        <w:numPr>
          <w:ilvl w:val="0"/>
          <w:numId w:val="1"/>
        </w:numPr>
        <w:rPr>
          <w:rFonts w:asciiTheme="minorHAnsi" w:hAnsiTheme="minorHAnsi"/>
          <w:color w:val="auto"/>
          <w:sz w:val="22"/>
          <w:szCs w:val="22"/>
        </w:rPr>
      </w:pPr>
      <w:r w:rsidRPr="00663B68">
        <w:rPr>
          <w:rFonts w:asciiTheme="minorHAnsi" w:hAnsiTheme="minorHAnsi"/>
          <w:color w:val="auto"/>
          <w:sz w:val="22"/>
          <w:szCs w:val="22"/>
        </w:rPr>
        <w:t>The number of EURIBOR maturities was reduced</w:t>
      </w:r>
    </w:p>
    <w:p w:rsidR="00663B68" w:rsidRPr="00663B68" w:rsidRDefault="00663B68" w:rsidP="00663B68">
      <w:pPr>
        <w:pStyle w:val="Default"/>
        <w:numPr>
          <w:ilvl w:val="0"/>
          <w:numId w:val="1"/>
        </w:numPr>
        <w:rPr>
          <w:rFonts w:asciiTheme="minorHAnsi" w:hAnsiTheme="minorHAnsi"/>
          <w:color w:val="auto"/>
          <w:sz w:val="22"/>
          <w:szCs w:val="22"/>
        </w:rPr>
      </w:pPr>
      <w:r w:rsidRPr="00663B68">
        <w:rPr>
          <w:rFonts w:asciiTheme="minorHAnsi" w:hAnsiTheme="minorHAnsi"/>
          <w:color w:val="auto"/>
          <w:sz w:val="22"/>
          <w:szCs w:val="22"/>
        </w:rPr>
        <w:t>A contingency plan for delayed/insufficient EURIBOR was put in place</w:t>
      </w:r>
    </w:p>
    <w:p w:rsidR="00663B68" w:rsidRPr="00663B68" w:rsidRDefault="00663B68" w:rsidP="00504CE8">
      <w:pPr>
        <w:pStyle w:val="Default"/>
        <w:rPr>
          <w:rFonts w:asciiTheme="minorHAnsi" w:hAnsiTheme="minorHAnsi"/>
          <w:color w:val="auto"/>
          <w:sz w:val="22"/>
          <w:szCs w:val="22"/>
        </w:rPr>
      </w:pPr>
    </w:p>
    <w:p w:rsidR="00175113" w:rsidRDefault="00663B68" w:rsidP="00504CE8">
      <w:pPr>
        <w:pStyle w:val="Default"/>
        <w:rPr>
          <w:rFonts w:asciiTheme="minorHAnsi" w:hAnsiTheme="minorHAnsi"/>
          <w:color w:val="auto"/>
          <w:sz w:val="22"/>
          <w:szCs w:val="22"/>
        </w:rPr>
      </w:pPr>
      <w:r w:rsidRPr="00663B68">
        <w:rPr>
          <w:rFonts w:asciiTheme="minorHAnsi" w:hAnsiTheme="minorHAnsi"/>
          <w:color w:val="auto"/>
          <w:sz w:val="22"/>
          <w:szCs w:val="22"/>
        </w:rPr>
        <w:t>In July 2014, Euribor-</w:t>
      </w:r>
      <w:r>
        <w:rPr>
          <w:rFonts w:asciiTheme="minorHAnsi" w:hAnsiTheme="minorHAnsi"/>
          <w:color w:val="auto"/>
          <w:sz w:val="22"/>
          <w:szCs w:val="22"/>
        </w:rPr>
        <w:t xml:space="preserve">EBF </w:t>
      </w:r>
      <w:r w:rsidRPr="00663B68">
        <w:rPr>
          <w:rFonts w:asciiTheme="minorHAnsi" w:hAnsiTheme="minorHAnsi"/>
          <w:color w:val="auto"/>
          <w:sz w:val="22"/>
          <w:szCs w:val="22"/>
        </w:rPr>
        <w:t>became the European Money Markets Institute and Global Rate Set Systems becam</w:t>
      </w:r>
      <w:r>
        <w:rPr>
          <w:rFonts w:asciiTheme="minorHAnsi" w:hAnsiTheme="minorHAnsi"/>
          <w:color w:val="auto"/>
          <w:sz w:val="22"/>
          <w:szCs w:val="22"/>
        </w:rPr>
        <w:t xml:space="preserve">e the administrator for EURIBOR.  </w:t>
      </w:r>
      <w:hyperlink r:id="rId23" w:history="1">
        <w:r w:rsidR="00175113" w:rsidRPr="007962A8">
          <w:rPr>
            <w:rStyle w:val="Hyperlink"/>
            <w:rFonts w:asciiTheme="minorHAnsi" w:hAnsiTheme="minorHAnsi"/>
            <w:sz w:val="22"/>
            <w:szCs w:val="22"/>
          </w:rPr>
          <w:t>https://www.emmi-benchmarks.eu/</w:t>
        </w:r>
      </w:hyperlink>
      <w:r w:rsidR="00175113">
        <w:rPr>
          <w:rFonts w:asciiTheme="minorHAnsi" w:hAnsiTheme="minorHAnsi"/>
          <w:color w:val="auto"/>
          <w:sz w:val="22"/>
          <w:szCs w:val="22"/>
        </w:rPr>
        <w:t xml:space="preserve"> </w:t>
      </w:r>
    </w:p>
    <w:p w:rsidR="00175113" w:rsidRDefault="00175113" w:rsidP="00504CE8">
      <w:pPr>
        <w:pStyle w:val="Default"/>
        <w:rPr>
          <w:rFonts w:asciiTheme="minorHAnsi" w:hAnsiTheme="minorHAnsi"/>
          <w:color w:val="auto"/>
          <w:sz w:val="22"/>
          <w:szCs w:val="22"/>
        </w:rPr>
      </w:pPr>
    </w:p>
    <w:p w:rsidR="00663B68" w:rsidRPr="00175113" w:rsidRDefault="00175113" w:rsidP="00175113">
      <w:pPr>
        <w:rPr>
          <w:sz w:val="23"/>
          <w:szCs w:val="23"/>
        </w:rPr>
      </w:pPr>
      <w:r w:rsidRPr="00175113">
        <w:rPr>
          <w:rFonts w:asciiTheme="minorHAnsi" w:hAnsiTheme="minorHAnsi"/>
        </w:rPr>
        <w:t>In 2015</w:t>
      </w:r>
      <w:r w:rsidR="00663B68" w:rsidRPr="00175113">
        <w:rPr>
          <w:rFonts w:asciiTheme="minorHAnsi" w:hAnsiTheme="minorHAnsi"/>
        </w:rPr>
        <w:t>, EMMI published a revised Code and consultation paper on plans for the transition to a transaction-based EURIBOR.</w:t>
      </w:r>
      <w:r w:rsidRPr="00175113">
        <w:rPr>
          <w:rFonts w:asciiTheme="minorHAnsi" w:hAnsiTheme="minorHAnsi"/>
        </w:rPr>
        <w:t xml:space="preserve">  </w:t>
      </w:r>
      <w:r>
        <w:rPr>
          <w:sz w:val="23"/>
          <w:szCs w:val="23"/>
        </w:rPr>
        <w:t xml:space="preserve">The design of the new methodology is supported by a EURIBOR+ Task Force of </w:t>
      </w:r>
      <w:r w:rsidR="001D7258">
        <w:rPr>
          <w:sz w:val="23"/>
          <w:szCs w:val="23"/>
        </w:rPr>
        <w:t>banks</w:t>
      </w:r>
      <w:r w:rsidR="00F3581C">
        <w:rPr>
          <w:sz w:val="23"/>
          <w:szCs w:val="23"/>
        </w:rPr>
        <w:t xml:space="preserve"> and benchmark</w:t>
      </w:r>
      <w:r w:rsidR="001D7258">
        <w:rPr>
          <w:sz w:val="23"/>
          <w:szCs w:val="23"/>
        </w:rPr>
        <w:t xml:space="preserve"> users,</w:t>
      </w:r>
      <w:r w:rsidR="00F3581C">
        <w:rPr>
          <w:sz w:val="23"/>
          <w:szCs w:val="23"/>
        </w:rPr>
        <w:t xml:space="preserve"> with technical support from</w:t>
      </w:r>
      <w:r>
        <w:rPr>
          <w:sz w:val="23"/>
          <w:szCs w:val="23"/>
        </w:rPr>
        <w:t xml:space="preserve"> the ECB. </w:t>
      </w:r>
      <w:r w:rsidRPr="00175113">
        <w:rPr>
          <w:rFonts w:asciiTheme="minorHAnsi" w:hAnsiTheme="minorHAnsi"/>
        </w:rPr>
        <w:t>The Belgian legislator designated the Belgian Financial Services and Markets Authority (FSMA) as supervisor of the EMMI</w:t>
      </w:r>
      <w:r w:rsidR="00F3581C">
        <w:rPr>
          <w:rFonts w:asciiTheme="minorHAnsi" w:hAnsiTheme="minorHAnsi"/>
        </w:rPr>
        <w:t xml:space="preserve"> and EURIBOR</w:t>
      </w:r>
      <w:r w:rsidRPr="00175113">
        <w:rPr>
          <w:rFonts w:asciiTheme="minorHAnsi" w:hAnsiTheme="minorHAnsi"/>
        </w:rPr>
        <w:t>.</w:t>
      </w:r>
    </w:p>
    <w:p w:rsidR="00663B68" w:rsidRDefault="00175113" w:rsidP="00504CE8">
      <w:pPr>
        <w:pStyle w:val="Default"/>
        <w:rPr>
          <w:rFonts w:asciiTheme="minorHAnsi" w:hAnsiTheme="minorHAnsi"/>
          <w:color w:val="auto"/>
          <w:sz w:val="22"/>
          <w:szCs w:val="22"/>
        </w:rPr>
      </w:pPr>
      <w:r>
        <w:rPr>
          <w:rFonts w:asciiTheme="minorHAnsi" w:hAnsiTheme="minorHAnsi"/>
          <w:color w:val="auto"/>
          <w:sz w:val="22"/>
          <w:szCs w:val="22"/>
        </w:rPr>
        <w:t>In 2016</w:t>
      </w:r>
      <w:r w:rsidR="00663B68">
        <w:rPr>
          <w:rFonts w:asciiTheme="minorHAnsi" w:hAnsiTheme="minorHAnsi"/>
          <w:color w:val="auto"/>
          <w:sz w:val="22"/>
          <w:szCs w:val="22"/>
        </w:rPr>
        <w:t xml:space="preserve">, </w:t>
      </w:r>
      <w:r>
        <w:rPr>
          <w:rFonts w:asciiTheme="minorHAnsi" w:hAnsiTheme="minorHAnsi"/>
          <w:color w:val="auto"/>
          <w:sz w:val="22"/>
          <w:szCs w:val="22"/>
        </w:rPr>
        <w:t xml:space="preserve">EMMI published a revised Roadmap </w:t>
      </w:r>
      <w:hyperlink r:id="rId24" w:history="1">
        <w:r w:rsidRPr="007962A8">
          <w:rPr>
            <w:rStyle w:val="Hyperlink"/>
            <w:rFonts w:asciiTheme="minorHAnsi" w:hAnsiTheme="minorHAnsi"/>
            <w:sz w:val="22"/>
            <w:szCs w:val="22"/>
          </w:rPr>
          <w:t>https://www.emmi-benchmarks.eu/assets/files/D0273B-2016%20The%20path%20forward%20to%20Transaction-based%20Euribor.pdf</w:t>
        </w:r>
      </w:hyperlink>
      <w:r>
        <w:rPr>
          <w:rFonts w:asciiTheme="minorHAnsi" w:hAnsiTheme="minorHAnsi"/>
          <w:color w:val="auto"/>
          <w:sz w:val="22"/>
          <w:szCs w:val="22"/>
        </w:rPr>
        <w:t xml:space="preserve"> </w:t>
      </w:r>
      <w:r w:rsidR="00F3581C">
        <w:rPr>
          <w:rFonts w:asciiTheme="minorHAnsi" w:hAnsiTheme="minorHAnsi"/>
          <w:color w:val="auto"/>
          <w:sz w:val="22"/>
          <w:szCs w:val="22"/>
        </w:rPr>
        <w:t xml:space="preserve">and </w:t>
      </w:r>
      <w:r>
        <w:rPr>
          <w:rFonts w:asciiTheme="minorHAnsi" w:hAnsiTheme="minorHAnsi"/>
          <w:color w:val="auto"/>
          <w:sz w:val="22"/>
          <w:szCs w:val="22"/>
        </w:rPr>
        <w:t xml:space="preserve">guidelines for a “Pre-Live Verification Program” to determine the effects on rates and volatility of a </w:t>
      </w:r>
      <w:r w:rsidR="00F3581C">
        <w:rPr>
          <w:rFonts w:asciiTheme="minorHAnsi" w:hAnsiTheme="minorHAnsi"/>
          <w:color w:val="auto"/>
          <w:sz w:val="22"/>
          <w:szCs w:val="22"/>
        </w:rPr>
        <w:t xml:space="preserve">transition to a </w:t>
      </w:r>
      <w:r>
        <w:rPr>
          <w:rFonts w:asciiTheme="minorHAnsi" w:hAnsiTheme="minorHAnsi"/>
          <w:color w:val="auto"/>
          <w:sz w:val="22"/>
          <w:szCs w:val="22"/>
        </w:rPr>
        <w:t xml:space="preserve">new transaction-based methodology </w:t>
      </w:r>
      <w:hyperlink r:id="rId25" w:history="1">
        <w:r w:rsidRPr="007962A8">
          <w:rPr>
            <w:rStyle w:val="Hyperlink"/>
            <w:rFonts w:asciiTheme="minorHAnsi" w:hAnsiTheme="minorHAnsi"/>
            <w:sz w:val="22"/>
            <w:szCs w:val="22"/>
          </w:rPr>
          <w:t>https://www.emmi-benchmarks.eu/assets/files/D0264G-2016%20Pre-Live%20Verification%20Program%20Guidelines.pdf</w:t>
        </w:r>
      </w:hyperlink>
      <w:r>
        <w:rPr>
          <w:rFonts w:asciiTheme="minorHAnsi" w:hAnsiTheme="minorHAnsi"/>
          <w:color w:val="auto"/>
          <w:sz w:val="22"/>
          <w:szCs w:val="22"/>
        </w:rPr>
        <w:t xml:space="preserve"> .</w:t>
      </w:r>
    </w:p>
    <w:p w:rsidR="00175113" w:rsidRDefault="00175113" w:rsidP="00504CE8">
      <w:pPr>
        <w:pStyle w:val="Default"/>
        <w:rPr>
          <w:rFonts w:asciiTheme="minorHAnsi" w:hAnsiTheme="minorHAnsi"/>
          <w:color w:val="auto"/>
          <w:sz w:val="22"/>
          <w:szCs w:val="22"/>
        </w:rPr>
      </w:pPr>
    </w:p>
    <w:p w:rsidR="00175113" w:rsidRPr="00663B68" w:rsidRDefault="00175113" w:rsidP="00504CE8">
      <w:pPr>
        <w:pStyle w:val="Default"/>
        <w:rPr>
          <w:rFonts w:asciiTheme="minorHAnsi" w:hAnsiTheme="minorHAnsi"/>
          <w:color w:val="auto"/>
          <w:sz w:val="22"/>
          <w:szCs w:val="22"/>
        </w:rPr>
      </w:pPr>
      <w:r>
        <w:rPr>
          <w:rFonts w:asciiTheme="minorHAnsi" w:hAnsiTheme="minorHAnsi"/>
          <w:color w:val="auto"/>
          <w:sz w:val="22"/>
          <w:szCs w:val="22"/>
        </w:rPr>
        <w:t>In 2017, EMMI published paper</w:t>
      </w:r>
      <w:r w:rsidR="001D7258">
        <w:rPr>
          <w:rFonts w:asciiTheme="minorHAnsi" w:hAnsiTheme="minorHAnsi"/>
          <w:color w:val="auto"/>
          <w:sz w:val="22"/>
          <w:szCs w:val="22"/>
        </w:rPr>
        <w:t>s</w:t>
      </w:r>
      <w:r>
        <w:rPr>
          <w:rFonts w:asciiTheme="minorHAnsi" w:hAnsiTheme="minorHAnsi"/>
          <w:color w:val="auto"/>
          <w:sz w:val="22"/>
          <w:szCs w:val="22"/>
        </w:rPr>
        <w:t xml:space="preserve"> on legal grounds for proposed reforms </w:t>
      </w:r>
      <w:hyperlink r:id="rId26" w:history="1">
        <w:r w:rsidRPr="007962A8">
          <w:rPr>
            <w:rStyle w:val="Hyperlink"/>
            <w:rFonts w:asciiTheme="minorHAnsi" w:hAnsiTheme="minorHAnsi"/>
            <w:sz w:val="22"/>
            <w:szCs w:val="22"/>
          </w:rPr>
          <w:t>https://www.emmi-benchmarks.eu/assets/files/D0562F-2017_EMMI%20Legal%20Position%20Paper_Final_PUBLIC.pdf</w:t>
        </w:r>
      </w:hyperlink>
      <w:r>
        <w:rPr>
          <w:rFonts w:asciiTheme="minorHAnsi" w:hAnsiTheme="minorHAnsi"/>
          <w:color w:val="auto"/>
          <w:sz w:val="22"/>
          <w:szCs w:val="22"/>
        </w:rPr>
        <w:t xml:space="preserve"> and transition challenges </w:t>
      </w:r>
      <w:hyperlink r:id="rId27" w:history="1">
        <w:r w:rsidRPr="007962A8">
          <w:rPr>
            <w:rStyle w:val="Hyperlink"/>
            <w:rFonts w:asciiTheme="minorHAnsi" w:hAnsiTheme="minorHAnsi"/>
            <w:sz w:val="22"/>
            <w:szCs w:val="22"/>
          </w:rPr>
          <w:t>https://www.emmi-benchmarks.eu/assets/files/D0247F-2017-euribor%20PLVP%20outcome-statement_final.pdf</w:t>
        </w:r>
      </w:hyperlink>
      <w:r>
        <w:rPr>
          <w:rFonts w:asciiTheme="minorHAnsi" w:hAnsiTheme="minorHAnsi"/>
          <w:color w:val="auto"/>
          <w:sz w:val="22"/>
          <w:szCs w:val="22"/>
        </w:rPr>
        <w:t xml:space="preserve"> .</w:t>
      </w:r>
    </w:p>
    <w:p w:rsidR="00663B68" w:rsidRDefault="00663B68" w:rsidP="00504CE8">
      <w:pPr>
        <w:pStyle w:val="Default"/>
      </w:pPr>
    </w:p>
    <w:p w:rsidR="00352BF5" w:rsidRDefault="00352BF5" w:rsidP="00821552">
      <w:pPr>
        <w:rPr>
          <w:b/>
          <w:color w:val="2F5496" w:themeColor="accent5" w:themeShade="BF"/>
          <w:sz w:val="28"/>
          <w:szCs w:val="28"/>
        </w:rPr>
      </w:pPr>
    </w:p>
    <w:p w:rsidR="00821552" w:rsidRDefault="00821552" w:rsidP="00821552">
      <w:pPr>
        <w:rPr>
          <w:b/>
          <w:color w:val="2F5496" w:themeColor="accent5" w:themeShade="BF"/>
          <w:sz w:val="28"/>
          <w:szCs w:val="28"/>
        </w:rPr>
      </w:pPr>
      <w:r>
        <w:rPr>
          <w:b/>
          <w:color w:val="2F5496" w:themeColor="accent5" w:themeShade="BF"/>
          <w:sz w:val="28"/>
          <w:szCs w:val="28"/>
        </w:rPr>
        <w:t>TIBOR</w:t>
      </w:r>
    </w:p>
    <w:p w:rsidR="00042F47" w:rsidRPr="00F43BF0" w:rsidRDefault="00042F47" w:rsidP="00821552">
      <w:pPr>
        <w:rPr>
          <w:b/>
          <w:color w:val="2F5496" w:themeColor="accent5" w:themeShade="BF"/>
        </w:rPr>
      </w:pPr>
      <w:r w:rsidRPr="00F43BF0">
        <w:t>The Japanese Bankers Associati</w:t>
      </w:r>
      <w:r w:rsidR="008E6689" w:rsidRPr="00F43BF0">
        <w:t xml:space="preserve">on TIBOR Administration </w:t>
      </w:r>
      <w:r w:rsidRPr="00F43BF0">
        <w:t>became regulated by the Japan F</w:t>
      </w:r>
      <w:r w:rsidR="008E6689" w:rsidRPr="00F43BF0">
        <w:t xml:space="preserve">inancial Services Agency </w:t>
      </w:r>
      <w:r w:rsidRPr="00F43BF0">
        <w:t>as a Specified Financial Benchmark Calculator for TIBOR in May 2015.</w:t>
      </w:r>
    </w:p>
    <w:p w:rsidR="00042F47" w:rsidRPr="00F43BF0" w:rsidRDefault="00042F47" w:rsidP="001D2444">
      <w:r w:rsidRPr="00F43BF0">
        <w:t xml:space="preserve">The Study Group on Risk-Free Reference </w:t>
      </w:r>
      <w:r w:rsidR="001D2444" w:rsidRPr="00F43BF0">
        <w:t>Rates</w:t>
      </w:r>
      <w:r w:rsidR="00F43BF0" w:rsidRPr="00F43BF0">
        <w:t xml:space="preserve"> </w:t>
      </w:r>
      <w:r w:rsidRPr="00F43BF0">
        <w:t>was formed in April 2015</w:t>
      </w:r>
      <w:r w:rsidR="008E6689" w:rsidRPr="00F43BF0">
        <w:t xml:space="preserve"> to identify</w:t>
      </w:r>
      <w:r w:rsidRPr="00F43BF0">
        <w:t xml:space="preserve"> Yen risk-free reference rates</w:t>
      </w:r>
      <w:r w:rsidR="008E6689" w:rsidRPr="00F43BF0">
        <w:t>.</w:t>
      </w:r>
      <w:r w:rsidR="001D2444" w:rsidRPr="00F43BF0">
        <w:t xml:space="preserve"> The Study Group </w:t>
      </w:r>
      <w:r w:rsidRPr="00F43BF0">
        <w:t>published a consultation paper</w:t>
      </w:r>
      <w:r w:rsidR="001D2444" w:rsidRPr="00F43BF0">
        <w:t xml:space="preserve"> in March 2016 and identified </w:t>
      </w:r>
      <w:r w:rsidRPr="00F43BF0">
        <w:t xml:space="preserve">the uncollateralised overnight call rate (the Tokyo Overnight Average Rate, TONAR) as the primary candidate </w:t>
      </w:r>
      <w:r w:rsidR="001D2444" w:rsidRPr="00F43BF0">
        <w:t>for the JPY risk-free rate.  A</w:t>
      </w:r>
      <w:r w:rsidRPr="00F43BF0">
        <w:t xml:space="preserve"> GC repo rate </w:t>
      </w:r>
      <w:r w:rsidR="001D2444" w:rsidRPr="00F43BF0">
        <w:t xml:space="preserve">was identified </w:t>
      </w:r>
      <w:r w:rsidRPr="00F43BF0">
        <w:t xml:space="preserve">as the secondary candidate. </w:t>
      </w:r>
      <w:r w:rsidR="001D2444" w:rsidRPr="00F43BF0">
        <w:t>The Study Group also considered how to expand and encourage use of the risk-free rate, and proposed enhanced conventions f</w:t>
      </w:r>
      <w:r w:rsidR="00F43BF0">
        <w:t>or the OI</w:t>
      </w:r>
      <w:r w:rsidR="001D2444" w:rsidRPr="00F43BF0">
        <w:t xml:space="preserve">S market.  </w:t>
      </w:r>
      <w:hyperlink r:id="rId28" w:history="1">
        <w:r w:rsidR="001D2444" w:rsidRPr="00F43BF0">
          <w:rPr>
            <w:rStyle w:val="Hyperlink"/>
          </w:rPr>
          <w:t>https://www.boj.or.jp/en/paym/market/sg/rfr1603c.pdf</w:t>
        </w:r>
      </w:hyperlink>
      <w:r w:rsidR="001D2444" w:rsidRPr="00F43BF0">
        <w:t xml:space="preserve"> </w:t>
      </w:r>
    </w:p>
    <w:p w:rsidR="001D2444" w:rsidRPr="00F43BF0" w:rsidRDefault="001D2444" w:rsidP="001D2444">
      <w:r w:rsidRPr="00F43BF0">
        <w:t xml:space="preserve">In December 2016, the Study Group published its conclusion that the uncollateralized overnight call rate calculated and published by the Bank of Japan would be the JPY risk-free rate. </w:t>
      </w:r>
      <w:hyperlink r:id="rId29" w:history="1">
        <w:r w:rsidRPr="00F43BF0">
          <w:rPr>
            <w:rStyle w:val="Hyperlink"/>
          </w:rPr>
          <w:t>https://www.boj.or.jp/en/paym/market/sg/rfr1612c.pdf</w:t>
        </w:r>
      </w:hyperlink>
      <w:r w:rsidRPr="00F43BF0">
        <w:t xml:space="preserve"> </w:t>
      </w:r>
    </w:p>
    <w:p w:rsidR="00042F47" w:rsidRPr="00F43BF0" w:rsidRDefault="001D2444" w:rsidP="00821552">
      <w:r w:rsidRPr="00F43BF0">
        <w:t xml:space="preserve">In 2017, the Study Group has continued its investigation of market practices and contract design with respect to the usage of the uncollateralized overnight call rate and </w:t>
      </w:r>
      <w:r w:rsidR="00CC05A6" w:rsidRPr="00F43BF0">
        <w:t>how to best support the growth of</w:t>
      </w:r>
      <w:r w:rsidRPr="00F43BF0">
        <w:t xml:space="preserve"> the OIS market. </w:t>
      </w:r>
      <w:r w:rsidR="00504CE8" w:rsidRPr="00F43BF0">
        <w:t xml:space="preserve">The Study Group will </w:t>
      </w:r>
      <w:r w:rsidRPr="00F43BF0">
        <w:t xml:space="preserve">also analyse further </w:t>
      </w:r>
      <w:r w:rsidR="00504CE8" w:rsidRPr="00F43BF0">
        <w:t>the consistency of JPY risk-fre</w:t>
      </w:r>
      <w:r w:rsidRPr="00F43BF0">
        <w:t>e rates compared to those in other currencies.</w:t>
      </w:r>
    </w:p>
    <w:p w:rsidR="00042F47" w:rsidRDefault="00042F47" w:rsidP="00821552">
      <w:pPr>
        <w:rPr>
          <w:b/>
          <w:color w:val="2F5496" w:themeColor="accent5" w:themeShade="BF"/>
          <w:sz w:val="28"/>
          <w:szCs w:val="28"/>
        </w:rPr>
      </w:pPr>
    </w:p>
    <w:p w:rsidR="00821552" w:rsidRDefault="00821552" w:rsidP="001E79AA">
      <w:pPr>
        <w:spacing w:line="23" w:lineRule="atLeast"/>
        <w:rPr>
          <w:b/>
          <w:color w:val="2F5496" w:themeColor="accent5" w:themeShade="BF"/>
          <w:sz w:val="28"/>
          <w:szCs w:val="28"/>
        </w:rPr>
      </w:pPr>
      <w:r>
        <w:rPr>
          <w:b/>
          <w:color w:val="2F5496" w:themeColor="accent5" w:themeShade="BF"/>
          <w:sz w:val="28"/>
          <w:szCs w:val="28"/>
        </w:rPr>
        <w:t>AUSTRALIA</w:t>
      </w:r>
    </w:p>
    <w:p w:rsidR="00067AB0" w:rsidRDefault="00067AB0" w:rsidP="001E79AA">
      <w:pPr>
        <w:shd w:val="clear" w:color="auto" w:fill="FFFFFF"/>
        <w:spacing w:line="23" w:lineRule="atLeast"/>
      </w:pPr>
      <w:r>
        <w:rPr>
          <w:rFonts w:asciiTheme="minorHAnsi" w:eastAsia="Times New Roman" w:hAnsiTheme="minorHAnsi" w:cs="Tahoma"/>
          <w:color w:val="000000"/>
        </w:rPr>
        <w:t xml:space="preserve">ASX took over administration of the </w:t>
      </w:r>
      <w:r>
        <w:t>Bank Bill Swap Rate (BBSW) short-term money market benchmark interest rate from the Australian Financial Market</w:t>
      </w:r>
      <w:r w:rsidR="00DB4028">
        <w:t>s</w:t>
      </w:r>
      <w:r>
        <w:t xml:space="preserve"> Association in January 2017.</w:t>
      </w:r>
    </w:p>
    <w:p w:rsidR="00067AB0" w:rsidRDefault="00067AB0" w:rsidP="001E79AA">
      <w:pPr>
        <w:shd w:val="clear" w:color="auto" w:fill="FFFFFF"/>
        <w:spacing w:line="23" w:lineRule="atLeast"/>
        <w:rPr>
          <w:rFonts w:asciiTheme="minorHAnsi" w:eastAsia="Times New Roman" w:hAnsiTheme="minorHAnsi" w:cs="Tahoma"/>
          <w:color w:val="000000"/>
        </w:rPr>
      </w:pPr>
      <w:r>
        <w:t>The BBSW rate represents the midpoint of the Nationally Observed Best Bid and Offer (NBBO) for Prime Bank Eligible Securities (bank accepted bills and negotiable certificates of deposit issued by banks that mee</w:t>
      </w:r>
      <w:r w:rsidR="00356F0D">
        <w:t xml:space="preserve">t </w:t>
      </w:r>
      <w:r>
        <w:t>eligibility criteria).</w:t>
      </w:r>
      <w:r w:rsidR="00356F0D">
        <w:t xml:space="preserve"> The rate has been based on actual transactions rather than submissions since May 2016.  </w:t>
      </w:r>
      <w:r>
        <w:rPr>
          <w:rFonts w:asciiTheme="minorHAnsi" w:eastAsia="Times New Roman" w:hAnsiTheme="minorHAnsi" w:cs="Tahoma"/>
          <w:color w:val="000000"/>
        </w:rPr>
        <w:t xml:space="preserve">  </w:t>
      </w:r>
      <w:hyperlink r:id="rId30" w:history="1">
        <w:r w:rsidRPr="00B22182">
          <w:rPr>
            <w:rStyle w:val="Hyperlink"/>
            <w:rFonts w:asciiTheme="minorHAnsi" w:eastAsia="Times New Roman" w:hAnsiTheme="minorHAnsi" w:cs="Tahoma"/>
          </w:rPr>
          <w:t>http://www.asx.com.au/documents/products/bbsw-frequently-asked-questions.pdf</w:t>
        </w:r>
      </w:hyperlink>
      <w:r>
        <w:rPr>
          <w:rFonts w:asciiTheme="minorHAnsi" w:eastAsia="Times New Roman" w:hAnsiTheme="minorHAnsi" w:cs="Tahoma"/>
          <w:color w:val="000000"/>
        </w:rPr>
        <w:t xml:space="preserve"> </w:t>
      </w:r>
    </w:p>
    <w:p w:rsidR="00821552" w:rsidRDefault="00821552" w:rsidP="001E79AA">
      <w:pPr>
        <w:spacing w:line="23" w:lineRule="atLeast"/>
        <w:rPr>
          <w:b/>
          <w:color w:val="2F5496" w:themeColor="accent5" w:themeShade="BF"/>
          <w:sz w:val="28"/>
          <w:szCs w:val="28"/>
        </w:rPr>
      </w:pPr>
    </w:p>
    <w:p w:rsidR="0009604E" w:rsidRPr="00821552" w:rsidRDefault="00821552" w:rsidP="001E79AA">
      <w:pPr>
        <w:spacing w:line="23" w:lineRule="atLeast"/>
        <w:rPr>
          <w:b/>
          <w:color w:val="2F5496" w:themeColor="accent5" w:themeShade="BF"/>
          <w:sz w:val="28"/>
          <w:szCs w:val="28"/>
        </w:rPr>
      </w:pPr>
      <w:r>
        <w:rPr>
          <w:b/>
          <w:color w:val="2F5496" w:themeColor="accent5" w:themeShade="BF"/>
          <w:sz w:val="28"/>
          <w:szCs w:val="28"/>
        </w:rPr>
        <w:t>CANADA</w:t>
      </w:r>
    </w:p>
    <w:p w:rsidR="00EB6B35" w:rsidRDefault="00EB6B35" w:rsidP="00DF75FB">
      <w:pPr>
        <w:shd w:val="clear" w:color="auto" w:fill="FFFFFF"/>
        <w:spacing w:after="0" w:line="23" w:lineRule="atLeast"/>
        <w:rPr>
          <w:rFonts w:asciiTheme="minorHAnsi" w:eastAsia="Times New Roman" w:hAnsiTheme="minorHAnsi" w:cs="Arial"/>
          <w:color w:val="000000"/>
        </w:rPr>
      </w:pPr>
      <w:r>
        <w:rPr>
          <w:rFonts w:eastAsia="Times New Roman" w:cs="Lucida Sans Unicode"/>
          <w:color w:val="333333"/>
        </w:rPr>
        <w:t>Canadian Dollar Offered Rate (CDOR) is the benchmark for bankers'</w:t>
      </w:r>
      <w:r w:rsidR="00DB4028">
        <w:rPr>
          <w:rFonts w:eastAsia="Times New Roman" w:cs="Lucida Sans Unicode"/>
          <w:color w:val="333333"/>
        </w:rPr>
        <w:t xml:space="preserve"> </w:t>
      </w:r>
      <w:r w:rsidR="00DF75FB">
        <w:rPr>
          <w:rFonts w:eastAsia="Times New Roman" w:cs="Lucida Sans Unicode"/>
          <w:color w:val="333333"/>
        </w:rPr>
        <w:t xml:space="preserve">acceptances under one year.  </w:t>
      </w:r>
      <w:r w:rsidR="00DB4028">
        <w:rPr>
          <w:rFonts w:eastAsia="Times New Roman" w:cs="Lucida Sans Unicode"/>
          <w:color w:val="333333"/>
        </w:rPr>
        <w:t xml:space="preserve">A January 2013 </w:t>
      </w:r>
      <w:r>
        <w:rPr>
          <w:rFonts w:eastAsia="Times New Roman" w:cs="Lucida Sans Unicode"/>
          <w:color w:val="333333"/>
        </w:rPr>
        <w:t xml:space="preserve">report by the </w:t>
      </w:r>
      <w:r>
        <w:rPr>
          <w:rFonts w:eastAsia="Times New Roman" w:cs="Arial"/>
          <w:color w:val="000000"/>
        </w:rPr>
        <w:t>Industry Regulatory Organization of Canada found that there was no consistent meth</w:t>
      </w:r>
      <w:r w:rsidR="006464E7">
        <w:rPr>
          <w:rFonts w:eastAsia="Times New Roman" w:cs="Arial"/>
          <w:color w:val="000000"/>
        </w:rPr>
        <w:t xml:space="preserve">odology used for </w:t>
      </w:r>
      <w:r>
        <w:rPr>
          <w:rFonts w:eastAsia="Times New Roman" w:cs="Arial"/>
          <w:color w:val="000000"/>
        </w:rPr>
        <w:t>submit</w:t>
      </w:r>
      <w:r w:rsidR="006464E7">
        <w:rPr>
          <w:rFonts w:eastAsia="Times New Roman" w:cs="Arial"/>
          <w:color w:val="000000"/>
        </w:rPr>
        <w:t>ting</w:t>
      </w:r>
      <w:r>
        <w:rPr>
          <w:rFonts w:eastAsia="Times New Roman" w:cs="Arial"/>
          <w:color w:val="000000"/>
        </w:rPr>
        <w:t xml:space="preserve"> rates.  In January 2014, the Office of the Superintendent of Financial Institutions announced it would begin supervising governance and risk controls surrounding the submissions.  The Bank of Canada announced in March 2014 that the industry and regulators would develop a code of conduct.</w:t>
      </w:r>
    </w:p>
    <w:p w:rsidR="00EB6B35" w:rsidRDefault="00D4694F" w:rsidP="001E79AA">
      <w:pPr>
        <w:shd w:val="clear" w:color="auto" w:fill="FFFFFF"/>
        <w:spacing w:line="23" w:lineRule="atLeast"/>
        <w:rPr>
          <w:rFonts w:eastAsia="Times New Roman" w:cs="Arial"/>
          <w:color w:val="000000"/>
        </w:rPr>
      </w:pPr>
      <w:hyperlink r:id="rId31" w:history="1">
        <w:r w:rsidR="00EB6B35">
          <w:rPr>
            <w:rStyle w:val="Hyperlink"/>
            <w:rFonts w:eastAsia="Times New Roman" w:cs="Arial"/>
          </w:rPr>
          <w:t>https://financial.thomsonreuters.com/content/dam/openweb/documents/pdf/financial/cdor-methodology.pdf</w:t>
        </w:r>
      </w:hyperlink>
      <w:r w:rsidR="00EB6B35">
        <w:rPr>
          <w:rFonts w:eastAsia="Times New Roman" w:cs="Arial"/>
          <w:color w:val="000000"/>
        </w:rPr>
        <w:t xml:space="preserve"> </w:t>
      </w:r>
    </w:p>
    <w:p w:rsidR="00EB6B35" w:rsidRPr="003F0079" w:rsidRDefault="00356F0D" w:rsidP="003F0079">
      <w:pPr>
        <w:shd w:val="clear" w:color="auto" w:fill="FFFFFF"/>
        <w:spacing w:afterLines="200" w:after="480" w:line="23" w:lineRule="atLeast"/>
      </w:pPr>
      <w:r>
        <w:t>Canadian Overnight Repo Rate Average (CORRA) is a transaction-based rate calculated from overnight general collateral repo trades on Canadian gove</w:t>
      </w:r>
      <w:r w:rsidR="006464E7">
        <w:t xml:space="preserve">rnment securities </w:t>
      </w:r>
      <w:r>
        <w:t>published since 1997.</w:t>
      </w:r>
      <w:r w:rsidR="00EB6B35">
        <w:t xml:space="preserve">  </w:t>
      </w:r>
      <w:r>
        <w:t xml:space="preserve">Thomson Reuters took over the administration of CORRA from the Bank of Canada in March 2015, and formed an official oversight committee.  CORRA is used as the floating rate benchmark in the overnight index swap market.  </w:t>
      </w:r>
      <w:hyperlink r:id="rId32" w:history="1">
        <w:r w:rsidRPr="00B22182">
          <w:rPr>
            <w:rStyle w:val="Hyperlink"/>
          </w:rPr>
          <w:t>https://financial.thomsonreuters.com/content/dam/openweb/documents/pdf/financial/corra-methodology.pdf</w:t>
        </w:r>
      </w:hyperlink>
      <w:r>
        <w:t xml:space="preserve"> </w:t>
      </w:r>
    </w:p>
    <w:p w:rsidR="00504CE8" w:rsidRPr="001E79AA" w:rsidRDefault="006464E7" w:rsidP="001E79AA">
      <w:pPr>
        <w:spacing w:after="0" w:line="23" w:lineRule="atLeast"/>
        <w:rPr>
          <w:b/>
          <w:color w:val="2F5496" w:themeColor="accent5" w:themeShade="BF"/>
          <w:sz w:val="28"/>
          <w:szCs w:val="28"/>
        </w:rPr>
      </w:pPr>
      <w:r>
        <w:rPr>
          <w:b/>
          <w:color w:val="2F5496" w:themeColor="accent5" w:themeShade="BF"/>
          <w:sz w:val="28"/>
          <w:szCs w:val="28"/>
        </w:rPr>
        <w:t>HONG KONG</w:t>
      </w:r>
    </w:p>
    <w:p w:rsidR="001E79AA" w:rsidRDefault="001E79AA" w:rsidP="001E79AA">
      <w:pPr>
        <w:shd w:val="clear" w:color="auto" w:fill="FFFFFF"/>
        <w:spacing w:after="0"/>
        <w:rPr>
          <w:rFonts w:asciiTheme="minorHAnsi" w:hAnsiTheme="minorHAnsi"/>
        </w:rPr>
      </w:pPr>
    </w:p>
    <w:p w:rsidR="001E79AA" w:rsidRPr="001E79AA" w:rsidRDefault="001E79AA" w:rsidP="001E79AA">
      <w:pPr>
        <w:shd w:val="clear" w:color="auto" w:fill="FFFFFF"/>
        <w:spacing w:after="0"/>
        <w:rPr>
          <w:rFonts w:asciiTheme="minorHAnsi" w:eastAsia="Times New Roman" w:hAnsiTheme="minorHAnsi"/>
        </w:rPr>
      </w:pPr>
      <w:r w:rsidRPr="001E79AA">
        <w:rPr>
          <w:rFonts w:asciiTheme="minorHAnsi" w:hAnsiTheme="minorHAnsi"/>
        </w:rPr>
        <w:t xml:space="preserve">In 2013, measures for the </w:t>
      </w:r>
      <w:r w:rsidRPr="001E79AA">
        <w:rPr>
          <w:rFonts w:asciiTheme="minorHAnsi" w:eastAsia="Times New Roman" w:hAnsiTheme="minorHAnsi"/>
        </w:rPr>
        <w:t xml:space="preserve">Hong Kong Interbank Offered Rate (HIBOR) </w:t>
      </w:r>
      <w:r w:rsidRPr="001E79AA">
        <w:rPr>
          <w:rFonts w:asciiTheme="minorHAnsi" w:hAnsiTheme="minorHAnsi"/>
        </w:rPr>
        <w:t xml:space="preserve">proposed by the </w:t>
      </w:r>
      <w:r w:rsidRPr="001E79AA">
        <w:rPr>
          <w:rFonts w:asciiTheme="minorHAnsi" w:eastAsia="Times New Roman" w:hAnsiTheme="minorHAnsi"/>
        </w:rPr>
        <w:t>Treasury Markets Association were adopted by the Hong Kong Monetary Authority, including</w:t>
      </w:r>
    </w:p>
    <w:p w:rsidR="001E79AA" w:rsidRPr="005A3D88" w:rsidRDefault="00D4694F" w:rsidP="001E79AA">
      <w:pPr>
        <w:pStyle w:val="ListParagraph"/>
        <w:numPr>
          <w:ilvl w:val="0"/>
          <w:numId w:val="1"/>
        </w:numPr>
        <w:shd w:val="clear" w:color="auto" w:fill="FFFFFF"/>
        <w:spacing w:afterLines="200" w:after="480"/>
        <w:rPr>
          <w:rFonts w:asciiTheme="minorHAnsi" w:eastAsia="Times New Roman" w:hAnsiTheme="minorHAnsi"/>
          <w:color w:val="2F5496" w:themeColor="accent5" w:themeShade="BF"/>
          <w:u w:val="single"/>
        </w:rPr>
      </w:pPr>
      <w:hyperlink r:id="rId33" w:tgtFrame="_blank" w:history="1">
        <w:r w:rsidR="001E79AA" w:rsidRPr="005A3D88">
          <w:rPr>
            <w:rFonts w:asciiTheme="minorHAnsi" w:eastAsia="Times New Roman" w:hAnsiTheme="minorHAnsi"/>
            <w:color w:val="2F5496" w:themeColor="accent5" w:themeShade="BF"/>
            <w:u w:val="single"/>
          </w:rPr>
          <w:t>Code of Conduct for Benchmark Submitters</w:t>
        </w:r>
      </w:hyperlink>
    </w:p>
    <w:p w:rsidR="001E79AA" w:rsidRPr="001E79AA" w:rsidRDefault="001E79AA" w:rsidP="001E79AA">
      <w:pPr>
        <w:pStyle w:val="ListParagraph"/>
        <w:numPr>
          <w:ilvl w:val="0"/>
          <w:numId w:val="1"/>
        </w:numPr>
        <w:shd w:val="clear" w:color="auto" w:fill="FFFFFF"/>
        <w:spacing w:afterLines="200" w:after="480"/>
        <w:rPr>
          <w:rFonts w:asciiTheme="minorHAnsi" w:eastAsia="Times New Roman" w:hAnsiTheme="minorHAnsi"/>
        </w:rPr>
      </w:pPr>
      <w:r w:rsidRPr="001E79AA">
        <w:rPr>
          <w:rFonts w:asciiTheme="minorHAnsi" w:eastAsia="Times New Roman" w:hAnsiTheme="minorHAnsi"/>
        </w:rPr>
        <w:t>Change in administrator from The Hong Kong Association of Banks (HKAB) to the TMA, with a new surveillance and governance structure</w:t>
      </w:r>
    </w:p>
    <w:p w:rsidR="001E79AA" w:rsidRPr="001E79AA" w:rsidRDefault="001E79AA" w:rsidP="001E79AA">
      <w:pPr>
        <w:pStyle w:val="ListParagraph"/>
        <w:numPr>
          <w:ilvl w:val="0"/>
          <w:numId w:val="1"/>
        </w:numPr>
        <w:shd w:val="clear" w:color="auto" w:fill="FFFFFF"/>
        <w:spacing w:afterLines="200" w:after="480"/>
        <w:rPr>
          <w:rFonts w:asciiTheme="minorHAnsi" w:eastAsia="Times New Roman" w:hAnsiTheme="minorHAnsi"/>
        </w:rPr>
      </w:pPr>
      <w:r w:rsidRPr="001E79AA">
        <w:rPr>
          <w:rFonts w:asciiTheme="minorHAnsi" w:eastAsia="Times New Roman" w:hAnsiTheme="minorHAnsi"/>
        </w:rPr>
        <w:t>Phase-out of HIBOR fixings for 4-month, 5-month, 7-month, 8-month and 11-month tenors</w:t>
      </w:r>
    </w:p>
    <w:p w:rsidR="001E79AA" w:rsidRPr="001E79AA" w:rsidRDefault="001E79AA" w:rsidP="001E79AA">
      <w:pPr>
        <w:pStyle w:val="ListParagraph"/>
        <w:numPr>
          <w:ilvl w:val="0"/>
          <w:numId w:val="1"/>
        </w:numPr>
        <w:shd w:val="clear" w:color="auto" w:fill="FFFFFF"/>
        <w:spacing w:afterLines="200" w:after="480"/>
        <w:rPr>
          <w:rFonts w:asciiTheme="minorHAnsi" w:eastAsia="Times New Roman" w:hAnsiTheme="minorHAnsi"/>
        </w:rPr>
      </w:pPr>
      <w:r w:rsidRPr="001E79AA">
        <w:rPr>
          <w:rFonts w:asciiTheme="minorHAnsi" w:eastAsia="Times New Roman" w:hAnsiTheme="minorHAnsi"/>
        </w:rPr>
        <w:t>Annual submitter panel review </w:t>
      </w:r>
    </w:p>
    <w:p w:rsidR="001E79AA" w:rsidRDefault="001E79AA" w:rsidP="001E79AA">
      <w:pPr>
        <w:pStyle w:val="ListParagraph"/>
        <w:numPr>
          <w:ilvl w:val="0"/>
          <w:numId w:val="1"/>
        </w:numPr>
        <w:shd w:val="clear" w:color="auto" w:fill="FFFFFF"/>
        <w:spacing w:after="0"/>
        <w:ind w:left="714" w:hanging="357"/>
        <w:rPr>
          <w:rFonts w:asciiTheme="minorHAnsi" w:eastAsia="Times New Roman" w:hAnsiTheme="minorHAnsi"/>
        </w:rPr>
      </w:pPr>
      <w:r w:rsidRPr="001E79AA">
        <w:rPr>
          <w:rFonts w:asciiTheme="minorHAnsi" w:eastAsia="Times New Roman" w:hAnsiTheme="minorHAnsi"/>
        </w:rPr>
        <w:t>Periodic independent external audit </w:t>
      </w:r>
    </w:p>
    <w:p w:rsidR="001E79AA" w:rsidRPr="001E79AA" w:rsidRDefault="001E79AA" w:rsidP="001E79AA">
      <w:pPr>
        <w:pStyle w:val="ListParagraph"/>
        <w:shd w:val="clear" w:color="auto" w:fill="FFFFFF"/>
        <w:spacing w:after="0"/>
        <w:ind w:left="714"/>
        <w:rPr>
          <w:rFonts w:asciiTheme="minorHAnsi" w:eastAsia="Times New Roman" w:hAnsiTheme="minorHAnsi"/>
        </w:rPr>
      </w:pPr>
    </w:p>
    <w:p w:rsidR="008F513B" w:rsidRDefault="003F0079" w:rsidP="003F0079">
      <w:pPr>
        <w:shd w:val="clear" w:color="auto" w:fill="FFFFFF"/>
        <w:spacing w:after="0"/>
      </w:pPr>
      <w:r>
        <w:t>F</w:t>
      </w:r>
      <w:r w:rsidR="001E79AA">
        <w:t xml:space="preserve">indings of an HKMA survey of transactions </w:t>
      </w:r>
      <w:r w:rsidR="008F513B" w:rsidRPr="001E79AA">
        <w:t>indicated that it would be more feasible to implement the risk-free ra</w:t>
      </w:r>
      <w:r w:rsidR="00DF75FB">
        <w:t>te using</w:t>
      </w:r>
      <w:r w:rsidR="001E79AA">
        <w:t xml:space="preserve"> </w:t>
      </w:r>
      <w:r w:rsidR="008F513B" w:rsidRPr="001E79AA">
        <w:t>the Hong Kong Dollar Overnight Index Avera</w:t>
      </w:r>
      <w:r w:rsidR="001E79AA">
        <w:t>ge (HONIA),</w:t>
      </w:r>
      <w:r w:rsidR="00DF75FB">
        <w:t xml:space="preserve"> which is</w:t>
      </w:r>
      <w:r w:rsidR="001E79AA">
        <w:t xml:space="preserve"> </w:t>
      </w:r>
      <w:r w:rsidR="00DF75FB">
        <w:t xml:space="preserve">based on </w:t>
      </w:r>
      <w:r w:rsidR="008F513B" w:rsidRPr="001E79AA">
        <w:t>overnight uns</w:t>
      </w:r>
      <w:r w:rsidR="001E79AA">
        <w:t>ecured interbank transactions</w:t>
      </w:r>
      <w:r w:rsidR="00DF75FB">
        <w:t xml:space="preserve">. HONIA is </w:t>
      </w:r>
      <w:r w:rsidR="008F513B" w:rsidRPr="001E79AA">
        <w:t>the reference rate for Hong Kong dollar O</w:t>
      </w:r>
      <w:r w:rsidR="001E79AA">
        <w:t xml:space="preserve">IS. In </w:t>
      </w:r>
      <w:r w:rsidR="008F513B" w:rsidRPr="001E79AA">
        <w:t>April</w:t>
      </w:r>
      <w:r w:rsidR="001E79AA">
        <w:t xml:space="preserve"> 2016, the TMA took up administratio</w:t>
      </w:r>
      <w:r>
        <w:t>n of HONIA</w:t>
      </w:r>
      <w:r w:rsidR="001E79AA">
        <w:t xml:space="preserve"> also.</w:t>
      </w:r>
    </w:p>
    <w:p w:rsidR="003F0079" w:rsidRPr="001E79AA" w:rsidRDefault="00D4694F" w:rsidP="001E79AA">
      <w:pPr>
        <w:shd w:val="clear" w:color="auto" w:fill="FFFFFF"/>
        <w:spacing w:afterLines="200" w:after="480"/>
        <w:rPr>
          <w:rFonts w:asciiTheme="minorHAnsi" w:eastAsia="Times New Roman" w:hAnsiTheme="minorHAnsi"/>
        </w:rPr>
      </w:pPr>
      <w:hyperlink r:id="rId34" w:history="1">
        <w:r w:rsidR="003F0079" w:rsidRPr="00586A96">
          <w:rPr>
            <w:rStyle w:val="Hyperlink"/>
            <w:rFonts w:asciiTheme="minorHAnsi" w:eastAsia="Times New Roman" w:hAnsiTheme="minorHAnsi"/>
          </w:rPr>
          <w:t>https://www.tma.org.hk/en_market_benchmark.aspx</w:t>
        </w:r>
      </w:hyperlink>
      <w:r w:rsidR="003F0079">
        <w:rPr>
          <w:rFonts w:asciiTheme="minorHAnsi" w:eastAsia="Times New Roman" w:hAnsiTheme="minorHAnsi"/>
        </w:rPr>
        <w:t xml:space="preserve"> </w:t>
      </w:r>
    </w:p>
    <w:p w:rsidR="00504CE8" w:rsidRPr="00504CE8" w:rsidRDefault="00504CE8" w:rsidP="00504CE8">
      <w:pPr>
        <w:autoSpaceDE w:val="0"/>
        <w:autoSpaceDN w:val="0"/>
        <w:adjustRightInd w:val="0"/>
        <w:spacing w:after="0" w:line="240" w:lineRule="auto"/>
        <w:rPr>
          <w:rFonts w:ascii="Times New Roman" w:hAnsi="Times New Roman"/>
          <w:color w:val="000000"/>
          <w:sz w:val="24"/>
          <w:szCs w:val="24"/>
          <w:lang w:eastAsia="en-US"/>
        </w:rPr>
      </w:pPr>
    </w:p>
    <w:p w:rsidR="00821552" w:rsidRDefault="00821552" w:rsidP="00821552">
      <w:pPr>
        <w:rPr>
          <w:b/>
          <w:color w:val="2F5496" w:themeColor="accent5" w:themeShade="BF"/>
          <w:sz w:val="28"/>
          <w:szCs w:val="28"/>
        </w:rPr>
      </w:pPr>
      <w:r>
        <w:rPr>
          <w:b/>
          <w:color w:val="2F5496" w:themeColor="accent5" w:themeShade="BF"/>
          <w:sz w:val="28"/>
          <w:szCs w:val="28"/>
        </w:rPr>
        <w:t>MEXICO</w:t>
      </w:r>
    </w:p>
    <w:p w:rsidR="00E0556B" w:rsidRPr="00E0556B" w:rsidRDefault="0005499B" w:rsidP="00504CE8">
      <w:pPr>
        <w:autoSpaceDE w:val="0"/>
        <w:autoSpaceDN w:val="0"/>
        <w:adjustRightInd w:val="0"/>
        <w:spacing w:after="0" w:line="240" w:lineRule="auto"/>
        <w:rPr>
          <w:rFonts w:asciiTheme="minorHAnsi" w:hAnsiTheme="minorHAnsi"/>
          <w:color w:val="000000"/>
          <w:lang w:eastAsia="en-US"/>
        </w:rPr>
      </w:pPr>
      <w:r w:rsidRPr="00E0556B">
        <w:rPr>
          <w:rFonts w:asciiTheme="minorHAnsi" w:hAnsiTheme="minorHAnsi"/>
          <w:color w:val="000000"/>
          <w:lang w:eastAsia="en-US"/>
        </w:rPr>
        <w:t xml:space="preserve">The </w:t>
      </w:r>
      <w:r w:rsidR="00504CE8" w:rsidRPr="00E0556B">
        <w:rPr>
          <w:rFonts w:asciiTheme="minorHAnsi" w:hAnsiTheme="minorHAnsi"/>
          <w:color w:val="000000"/>
          <w:lang w:eastAsia="en-US"/>
        </w:rPr>
        <w:t>Interbank Eq</w:t>
      </w:r>
      <w:r w:rsidRPr="00E0556B">
        <w:rPr>
          <w:rFonts w:asciiTheme="minorHAnsi" w:hAnsiTheme="minorHAnsi"/>
          <w:color w:val="000000"/>
          <w:lang w:eastAsia="en-US"/>
        </w:rPr>
        <w:t xml:space="preserve">uilibrium Interest Rate (TIIE) is </w:t>
      </w:r>
      <w:r w:rsidR="00504CE8" w:rsidRPr="00E0556B">
        <w:rPr>
          <w:rFonts w:asciiTheme="minorHAnsi" w:hAnsiTheme="minorHAnsi"/>
          <w:color w:val="000000"/>
          <w:lang w:eastAsia="en-US"/>
        </w:rPr>
        <w:t>administered by Banco de México</w:t>
      </w:r>
      <w:r w:rsidR="00E0556B">
        <w:rPr>
          <w:rFonts w:asciiTheme="minorHAnsi" w:hAnsiTheme="minorHAnsi"/>
          <w:color w:val="000000"/>
          <w:lang w:eastAsia="en-US"/>
        </w:rPr>
        <w:t>.</w:t>
      </w:r>
      <w:r w:rsidR="00504CE8" w:rsidRPr="00E0556B">
        <w:rPr>
          <w:rFonts w:asciiTheme="minorHAnsi" w:hAnsiTheme="minorHAnsi"/>
          <w:color w:val="000000"/>
          <w:lang w:eastAsia="en-US"/>
        </w:rPr>
        <w:t xml:space="preserve"> </w:t>
      </w:r>
    </w:p>
    <w:p w:rsidR="00E0556B" w:rsidRPr="00E0556B" w:rsidRDefault="00E0556B" w:rsidP="00504CE8">
      <w:pPr>
        <w:autoSpaceDE w:val="0"/>
        <w:autoSpaceDN w:val="0"/>
        <w:adjustRightInd w:val="0"/>
        <w:spacing w:after="0" w:line="240" w:lineRule="auto"/>
        <w:rPr>
          <w:rFonts w:asciiTheme="minorHAnsi" w:hAnsiTheme="minorHAnsi"/>
          <w:color w:val="000000"/>
          <w:lang w:eastAsia="en-US"/>
        </w:rPr>
      </w:pPr>
    </w:p>
    <w:p w:rsidR="00E0556B" w:rsidRPr="00E0556B" w:rsidRDefault="00E0556B" w:rsidP="00E0556B">
      <w:pPr>
        <w:autoSpaceDE w:val="0"/>
        <w:autoSpaceDN w:val="0"/>
        <w:adjustRightInd w:val="0"/>
        <w:spacing w:after="0" w:line="240" w:lineRule="auto"/>
        <w:rPr>
          <w:rFonts w:asciiTheme="minorHAnsi" w:hAnsiTheme="minorHAnsi"/>
          <w:color w:val="000000"/>
          <w:lang w:eastAsia="en-US"/>
        </w:rPr>
      </w:pPr>
      <w:r>
        <w:rPr>
          <w:rFonts w:asciiTheme="minorHAnsi" w:hAnsiTheme="minorHAnsi"/>
          <w:color w:val="000000"/>
          <w:lang w:eastAsia="en-US"/>
        </w:rPr>
        <w:t>In 2015, refor</w:t>
      </w:r>
      <w:r w:rsidR="00DF75FB">
        <w:rPr>
          <w:rFonts w:asciiTheme="minorHAnsi" w:hAnsiTheme="minorHAnsi"/>
          <w:color w:val="000000"/>
          <w:lang w:eastAsia="en-US"/>
        </w:rPr>
        <w:t xml:space="preserve">ms were enacted in </w:t>
      </w:r>
      <w:r w:rsidR="00504CE8" w:rsidRPr="00E0556B">
        <w:rPr>
          <w:rFonts w:asciiTheme="minorHAnsi" w:hAnsiTheme="minorHAnsi"/>
          <w:color w:val="000000"/>
          <w:lang w:eastAsia="en-US"/>
        </w:rPr>
        <w:t>governing doc</w:t>
      </w:r>
      <w:r w:rsidRPr="00E0556B">
        <w:rPr>
          <w:rFonts w:asciiTheme="minorHAnsi" w:hAnsiTheme="minorHAnsi"/>
          <w:color w:val="000000"/>
          <w:lang w:eastAsia="en-US"/>
        </w:rPr>
        <w:t>uments</w:t>
      </w:r>
      <w:r w:rsidR="00F3581C">
        <w:rPr>
          <w:rFonts w:asciiTheme="minorHAnsi" w:hAnsiTheme="minorHAnsi"/>
          <w:color w:val="000000"/>
          <w:lang w:eastAsia="en-US"/>
        </w:rPr>
        <w:t xml:space="preserve">, supervision, </w:t>
      </w:r>
      <w:r w:rsidRPr="00E0556B">
        <w:rPr>
          <w:rFonts w:asciiTheme="minorHAnsi" w:hAnsiTheme="minorHAnsi"/>
          <w:color w:val="000000"/>
          <w:lang w:eastAsia="en-US"/>
        </w:rPr>
        <w:t>calculation methodology</w:t>
      </w:r>
      <w:r w:rsidR="00F3581C">
        <w:rPr>
          <w:rFonts w:asciiTheme="minorHAnsi" w:hAnsiTheme="minorHAnsi"/>
          <w:color w:val="000000"/>
          <w:lang w:eastAsia="en-US"/>
        </w:rPr>
        <w:t xml:space="preserve">, and </w:t>
      </w:r>
      <w:r w:rsidR="00DF75FB">
        <w:rPr>
          <w:rFonts w:asciiTheme="minorHAnsi" w:hAnsiTheme="minorHAnsi"/>
          <w:color w:val="000000"/>
          <w:lang w:eastAsia="en-US"/>
        </w:rPr>
        <w:t xml:space="preserve">the </w:t>
      </w:r>
      <w:r w:rsidR="00F3581C">
        <w:rPr>
          <w:rFonts w:asciiTheme="minorHAnsi" w:hAnsiTheme="minorHAnsi"/>
          <w:color w:val="000000"/>
          <w:lang w:eastAsia="en-US"/>
        </w:rPr>
        <w:t>review process</w:t>
      </w:r>
      <w:r>
        <w:rPr>
          <w:rFonts w:asciiTheme="minorHAnsi" w:hAnsiTheme="minorHAnsi"/>
          <w:color w:val="000000"/>
          <w:lang w:eastAsia="en-US"/>
        </w:rPr>
        <w:t>.</w:t>
      </w:r>
    </w:p>
    <w:p w:rsidR="00E0556B" w:rsidRDefault="00E0556B" w:rsidP="00504CE8">
      <w:pPr>
        <w:autoSpaceDE w:val="0"/>
        <w:autoSpaceDN w:val="0"/>
        <w:adjustRightInd w:val="0"/>
        <w:spacing w:after="0" w:line="240" w:lineRule="auto"/>
        <w:rPr>
          <w:rFonts w:asciiTheme="minorHAnsi" w:hAnsiTheme="minorHAnsi"/>
          <w:color w:val="000000"/>
          <w:lang w:eastAsia="en-US"/>
        </w:rPr>
      </w:pPr>
    </w:p>
    <w:p w:rsidR="00504CE8" w:rsidRPr="00E0556B" w:rsidRDefault="00E0556B" w:rsidP="00504CE8">
      <w:pPr>
        <w:autoSpaceDE w:val="0"/>
        <w:autoSpaceDN w:val="0"/>
        <w:adjustRightInd w:val="0"/>
        <w:spacing w:after="0" w:line="240" w:lineRule="auto"/>
        <w:rPr>
          <w:rFonts w:asciiTheme="minorHAnsi" w:hAnsiTheme="minorHAnsi"/>
          <w:color w:val="000000"/>
          <w:lang w:eastAsia="en-US"/>
        </w:rPr>
      </w:pPr>
      <w:r>
        <w:rPr>
          <w:rFonts w:asciiTheme="minorHAnsi" w:hAnsiTheme="minorHAnsi"/>
          <w:color w:val="000000"/>
          <w:lang w:eastAsia="en-US"/>
        </w:rPr>
        <w:t>The BdM is working with the market to</w:t>
      </w:r>
      <w:r w:rsidR="00504CE8" w:rsidRPr="00E0556B">
        <w:rPr>
          <w:rFonts w:asciiTheme="minorHAnsi" w:hAnsiTheme="minorHAnsi"/>
          <w:color w:val="000000"/>
          <w:lang w:eastAsia="en-US"/>
        </w:rPr>
        <w:t xml:space="preserve"> base the TIIE determination on act</w:t>
      </w:r>
      <w:r w:rsidR="00F3581C">
        <w:rPr>
          <w:rFonts w:asciiTheme="minorHAnsi" w:hAnsiTheme="minorHAnsi"/>
          <w:color w:val="000000"/>
          <w:lang w:eastAsia="en-US"/>
        </w:rPr>
        <w:t>ual transactions in the market, but is finding it challenging to find consistently liquid pricing along the yield curve.</w:t>
      </w:r>
    </w:p>
    <w:p w:rsidR="00504CE8" w:rsidRDefault="00504CE8" w:rsidP="00821552">
      <w:pPr>
        <w:rPr>
          <w:b/>
          <w:color w:val="2F5496" w:themeColor="accent5" w:themeShade="BF"/>
          <w:sz w:val="28"/>
          <w:szCs w:val="28"/>
        </w:rPr>
      </w:pPr>
    </w:p>
    <w:p w:rsidR="00821552" w:rsidRDefault="00821552" w:rsidP="00821552">
      <w:pPr>
        <w:rPr>
          <w:b/>
          <w:color w:val="2F5496" w:themeColor="accent5" w:themeShade="BF"/>
          <w:sz w:val="28"/>
          <w:szCs w:val="28"/>
        </w:rPr>
      </w:pPr>
      <w:r>
        <w:rPr>
          <w:b/>
          <w:color w:val="2F5496" w:themeColor="accent5" w:themeShade="BF"/>
          <w:sz w:val="28"/>
          <w:szCs w:val="28"/>
        </w:rPr>
        <w:t>NEW ZEALAND</w:t>
      </w:r>
    </w:p>
    <w:p w:rsidR="003820A6" w:rsidRPr="008E6689" w:rsidRDefault="003820A6" w:rsidP="008E6689">
      <w:r w:rsidRPr="008E6689">
        <w:t xml:space="preserve">The Benchmark Oversight Committee was established in 2015 to oversee the capture, calculation and publishing methodology of the New Zealand reference rate published via the NZdata Service by the New Zealand Financial Markets Association. The committee reviews and challenges all aspects of the benchmark determination process, and considers the features and usage of the benchmarks and potential conflicts.  </w:t>
      </w:r>
      <w:hyperlink r:id="rId35" w:history="1">
        <w:r w:rsidRPr="008E6689">
          <w:rPr>
            <w:rStyle w:val="Hyperlink"/>
          </w:rPr>
          <w:t>https://nzfma.org/Site/practices_standards/reference_rate_rules.aspx</w:t>
        </w:r>
      </w:hyperlink>
      <w:r w:rsidRPr="008E6689">
        <w:t xml:space="preserve"> </w:t>
      </w:r>
    </w:p>
    <w:p w:rsidR="003820A6" w:rsidRPr="003820A6" w:rsidRDefault="003820A6" w:rsidP="003820A6">
      <w:pPr>
        <w:shd w:val="clear" w:color="auto" w:fill="FFFFFF"/>
        <w:spacing w:before="225" w:after="225" w:line="300" w:lineRule="atLeast"/>
        <w:textAlignment w:val="baseline"/>
        <w:rPr>
          <w:rFonts w:asciiTheme="minorHAnsi" w:eastAsia="Times New Roman" w:hAnsiTheme="minorHAnsi" w:cs="Arial"/>
        </w:rPr>
      </w:pPr>
    </w:p>
    <w:p w:rsidR="00233F81" w:rsidRDefault="00821552" w:rsidP="00821552">
      <w:pPr>
        <w:rPr>
          <w:b/>
          <w:color w:val="2F5496" w:themeColor="accent5" w:themeShade="BF"/>
          <w:sz w:val="28"/>
          <w:szCs w:val="28"/>
        </w:rPr>
      </w:pPr>
      <w:r>
        <w:rPr>
          <w:b/>
          <w:color w:val="2F5496" w:themeColor="accent5" w:themeShade="BF"/>
          <w:sz w:val="28"/>
          <w:szCs w:val="28"/>
        </w:rPr>
        <w:t>SINGAPORE</w:t>
      </w:r>
    </w:p>
    <w:p w:rsidR="008E6689" w:rsidRDefault="008E6689" w:rsidP="00F3581C">
      <w:pPr>
        <w:spacing w:after="0"/>
      </w:pPr>
      <w:r w:rsidRPr="008E6689">
        <w:t xml:space="preserve">Following supervisory review by the Monetary Authority of Singapore in 2013, the Association of Banks in Singapore and the Singapore Foreign Exchange Markets Committee announced benchmark reforms: </w:t>
      </w:r>
    </w:p>
    <w:p w:rsidR="008E6689" w:rsidRDefault="008E6689" w:rsidP="008E6689">
      <w:pPr>
        <w:pStyle w:val="ListParagraph"/>
        <w:numPr>
          <w:ilvl w:val="0"/>
          <w:numId w:val="1"/>
        </w:numPr>
      </w:pPr>
      <w:r w:rsidRPr="008E6689">
        <w:t xml:space="preserve">The ABS Benchmarks Administration Co Pte established to own and administer the Singapore Interbank Offered Rate (SIBOR), the Swap Offer Rate (SOR), the SGD Spot FX and the THB Spot FX. Thomson Reuters is the Calculating Agent of the SIBOR and SWAP Offer Rates </w:t>
      </w:r>
    </w:p>
    <w:p w:rsidR="008E6689" w:rsidRDefault="008E6689" w:rsidP="008E6689">
      <w:pPr>
        <w:pStyle w:val="ListParagraph"/>
        <w:numPr>
          <w:ilvl w:val="0"/>
          <w:numId w:val="1"/>
        </w:numPr>
      </w:pPr>
      <w:r w:rsidRPr="008E6689">
        <w:t xml:space="preserve">New criminal sanctions for manipulation proposed </w:t>
      </w:r>
    </w:p>
    <w:p w:rsidR="008E6689" w:rsidRDefault="005A3D88" w:rsidP="008E6689">
      <w:pPr>
        <w:pStyle w:val="ListParagraph"/>
        <w:numPr>
          <w:ilvl w:val="0"/>
          <w:numId w:val="1"/>
        </w:numPr>
      </w:pPr>
      <w:r>
        <w:t xml:space="preserve">New regulatory regime </w:t>
      </w:r>
      <w:r w:rsidR="008E6689" w:rsidRPr="008E6689">
        <w:t xml:space="preserve">established </w:t>
      </w:r>
    </w:p>
    <w:p w:rsidR="008E6689" w:rsidRPr="008E6689" w:rsidRDefault="008E6689" w:rsidP="008E6689">
      <w:pPr>
        <w:pStyle w:val="ListParagraph"/>
        <w:numPr>
          <w:ilvl w:val="0"/>
          <w:numId w:val="1"/>
        </w:numPr>
      </w:pPr>
      <w:r w:rsidRPr="008E6689">
        <w:t>Number of tenors for SIBOR reduced</w:t>
      </w:r>
    </w:p>
    <w:p w:rsidR="006464E7" w:rsidRPr="008E6689" w:rsidRDefault="007E0D99" w:rsidP="00504CE8">
      <w:pPr>
        <w:rPr>
          <w:rFonts w:asciiTheme="minorHAnsi" w:hAnsiTheme="minorHAnsi"/>
          <w:color w:val="000000"/>
          <w:lang w:eastAsia="en-US"/>
        </w:rPr>
      </w:pPr>
      <w:r w:rsidRPr="008E6689">
        <w:rPr>
          <w:rFonts w:asciiTheme="minorHAnsi" w:hAnsiTheme="minorHAnsi"/>
          <w:color w:val="000000"/>
          <w:lang w:eastAsia="en-US"/>
        </w:rPr>
        <w:t>Discussions on an</w:t>
      </w:r>
      <w:r w:rsidR="008E6689" w:rsidRPr="008E6689">
        <w:rPr>
          <w:rFonts w:asciiTheme="minorHAnsi" w:hAnsiTheme="minorHAnsi"/>
          <w:color w:val="000000"/>
          <w:lang w:eastAsia="en-US"/>
        </w:rPr>
        <w:t xml:space="preserve"> enhanced SIBOR+ methodology are ongoing.</w:t>
      </w:r>
      <w:r w:rsidR="008E6689">
        <w:rPr>
          <w:rFonts w:asciiTheme="minorHAnsi" w:hAnsiTheme="minorHAnsi"/>
          <w:color w:val="000000"/>
          <w:lang w:eastAsia="en-US"/>
        </w:rPr>
        <w:t xml:space="preserve"> </w:t>
      </w:r>
      <w:hyperlink r:id="rId36" w:history="1">
        <w:r w:rsidR="006464E7" w:rsidRPr="008E6689">
          <w:rPr>
            <w:rStyle w:val="Hyperlink"/>
            <w:rFonts w:asciiTheme="minorHAnsi" w:hAnsiTheme="minorHAnsi"/>
            <w:lang w:eastAsia="en-US"/>
          </w:rPr>
          <w:t>https://abs.org.sg/industry-guidelines/rate-setting-benchmarks</w:t>
        </w:r>
      </w:hyperlink>
      <w:r w:rsidR="006464E7" w:rsidRPr="008E6689">
        <w:rPr>
          <w:rFonts w:asciiTheme="minorHAnsi" w:hAnsiTheme="minorHAnsi"/>
          <w:color w:val="000000"/>
          <w:lang w:eastAsia="en-US"/>
        </w:rPr>
        <w:t xml:space="preserve"> </w:t>
      </w:r>
    </w:p>
    <w:p w:rsidR="006464E7" w:rsidRDefault="006464E7" w:rsidP="00504CE8">
      <w:pPr>
        <w:rPr>
          <w:b/>
          <w:color w:val="2F5496" w:themeColor="accent5" w:themeShade="BF"/>
          <w:sz w:val="28"/>
          <w:szCs w:val="28"/>
        </w:rPr>
      </w:pPr>
    </w:p>
    <w:p w:rsidR="00821552" w:rsidRDefault="00233F81" w:rsidP="00821552">
      <w:pPr>
        <w:rPr>
          <w:b/>
          <w:color w:val="2F5496" w:themeColor="accent5" w:themeShade="BF"/>
          <w:sz w:val="28"/>
          <w:szCs w:val="28"/>
        </w:rPr>
      </w:pPr>
      <w:r>
        <w:rPr>
          <w:b/>
          <w:color w:val="2F5496" w:themeColor="accent5" w:themeShade="BF"/>
          <w:sz w:val="28"/>
          <w:szCs w:val="28"/>
        </w:rPr>
        <w:t>SOUTH AFRICA</w:t>
      </w:r>
    </w:p>
    <w:p w:rsidR="00A2083A" w:rsidRPr="00DB4028" w:rsidRDefault="00A2083A" w:rsidP="00A2083A">
      <w:pPr>
        <w:rPr>
          <w:rFonts w:asciiTheme="minorHAnsi" w:hAnsiTheme="minorHAnsi"/>
        </w:rPr>
      </w:pPr>
      <w:r w:rsidRPr="00DB4028">
        <w:rPr>
          <w:rFonts w:asciiTheme="minorHAnsi" w:hAnsiTheme="minorHAnsi"/>
        </w:rPr>
        <w:t xml:space="preserve">In 2011, the South African Reserve Bank initiated a review of benchmark rates, including </w:t>
      </w:r>
      <w:r w:rsidR="006464E7">
        <w:rPr>
          <w:rFonts w:asciiTheme="minorHAnsi" w:hAnsiTheme="minorHAnsi"/>
        </w:rPr>
        <w:t xml:space="preserve">the </w:t>
      </w:r>
      <w:r w:rsidRPr="00DB4028">
        <w:rPr>
          <w:rFonts w:asciiTheme="minorHAnsi" w:hAnsiTheme="minorHAnsi"/>
        </w:rPr>
        <w:t>Johannesburg Interbank Average Rate (JIBAR). A Code of Conduct, Governance Process, and Operating Rules for JIBAR was publish</w:t>
      </w:r>
      <w:r w:rsidR="00EB6B35" w:rsidRPr="00DB4028">
        <w:rPr>
          <w:rFonts w:asciiTheme="minorHAnsi" w:hAnsiTheme="minorHAnsi"/>
        </w:rPr>
        <w:t>ed in 2012, and amended in 2014 and 2015.</w:t>
      </w:r>
      <w:r w:rsidRPr="00DB4028">
        <w:rPr>
          <w:rFonts w:asciiTheme="minorHAnsi" w:hAnsiTheme="minorHAnsi"/>
        </w:rPr>
        <w:t xml:space="preserve">  </w:t>
      </w:r>
      <w:hyperlink r:id="rId37" w:history="1">
        <w:r w:rsidRPr="00DB4028">
          <w:rPr>
            <w:rStyle w:val="Hyperlink"/>
            <w:rFonts w:asciiTheme="minorHAnsi" w:hAnsiTheme="minorHAnsi"/>
          </w:rPr>
          <w:t>https://www.resbank.co.za/Lists/News%20and%20Publications/Attachments/6859/Jibar%20Code%20of%20Conduct%20Aug%202015.pdf</w:t>
        </w:r>
      </w:hyperlink>
      <w:r w:rsidRPr="00DB4028">
        <w:rPr>
          <w:rFonts w:asciiTheme="minorHAnsi" w:hAnsiTheme="minorHAnsi"/>
        </w:rPr>
        <w:t xml:space="preserve"> </w:t>
      </w:r>
    </w:p>
    <w:p w:rsidR="00DB4028" w:rsidRPr="006464E7" w:rsidRDefault="00A2083A" w:rsidP="00EB6B35">
      <w:pPr>
        <w:pStyle w:val="Default"/>
        <w:rPr>
          <w:rFonts w:asciiTheme="minorHAnsi" w:hAnsiTheme="minorHAnsi"/>
          <w:sz w:val="22"/>
          <w:szCs w:val="22"/>
        </w:rPr>
      </w:pPr>
      <w:r w:rsidRPr="00DB4028">
        <w:rPr>
          <w:rFonts w:asciiTheme="minorHAnsi" w:hAnsiTheme="minorHAnsi"/>
          <w:sz w:val="22"/>
          <w:szCs w:val="22"/>
        </w:rPr>
        <w:t xml:space="preserve">The SARB completed </w:t>
      </w:r>
      <w:r w:rsidR="00EB6B35" w:rsidRPr="00DB4028">
        <w:rPr>
          <w:rFonts w:asciiTheme="minorHAnsi" w:hAnsiTheme="minorHAnsi"/>
          <w:sz w:val="22"/>
          <w:szCs w:val="22"/>
        </w:rPr>
        <w:t xml:space="preserve">a data collection exercise to review </w:t>
      </w:r>
      <w:r w:rsidRPr="00DB4028">
        <w:rPr>
          <w:rFonts w:asciiTheme="minorHAnsi" w:hAnsiTheme="minorHAnsi"/>
          <w:sz w:val="22"/>
          <w:szCs w:val="22"/>
        </w:rPr>
        <w:t xml:space="preserve">the decline in the volumes of Negotiable Certificate of Deposits from which JIBAR is derived. </w:t>
      </w:r>
      <w:r w:rsidR="00DB4028" w:rsidRPr="00DB4028">
        <w:rPr>
          <w:rFonts w:asciiTheme="minorHAnsi" w:hAnsiTheme="minorHAnsi"/>
          <w:sz w:val="22"/>
          <w:szCs w:val="22"/>
        </w:rPr>
        <w:t xml:space="preserve">Based on the findings, alternatives for </w:t>
      </w:r>
      <w:r w:rsidR="00DB4028">
        <w:rPr>
          <w:rFonts w:asciiTheme="minorHAnsi" w:hAnsiTheme="minorHAnsi"/>
          <w:sz w:val="22"/>
          <w:szCs w:val="22"/>
        </w:rPr>
        <w:t>calculating JIBAR are being cons</w:t>
      </w:r>
      <w:r w:rsidR="00DB4028" w:rsidRPr="00DB4028">
        <w:rPr>
          <w:rFonts w:asciiTheme="minorHAnsi" w:hAnsiTheme="minorHAnsi"/>
          <w:sz w:val="22"/>
          <w:szCs w:val="22"/>
        </w:rPr>
        <w:t>idered</w:t>
      </w:r>
      <w:r w:rsidR="006464E7">
        <w:rPr>
          <w:rFonts w:asciiTheme="minorHAnsi" w:hAnsiTheme="minorHAnsi"/>
          <w:sz w:val="22"/>
          <w:szCs w:val="22"/>
        </w:rPr>
        <w:t xml:space="preserve"> by the </w:t>
      </w:r>
      <w:r w:rsidR="006464E7" w:rsidRPr="006464E7">
        <w:rPr>
          <w:rFonts w:asciiTheme="minorHAnsi" w:hAnsiTheme="minorHAnsi"/>
          <w:sz w:val="22"/>
          <w:szCs w:val="22"/>
        </w:rPr>
        <w:t>Financial Markets Liaison Group.</w:t>
      </w:r>
    </w:p>
    <w:p w:rsidR="00DB4028" w:rsidRPr="00DB4028" w:rsidRDefault="00DB4028" w:rsidP="00EB6B35">
      <w:pPr>
        <w:pStyle w:val="Default"/>
        <w:rPr>
          <w:rFonts w:asciiTheme="minorHAnsi" w:hAnsiTheme="minorHAnsi"/>
          <w:sz w:val="22"/>
          <w:szCs w:val="22"/>
        </w:rPr>
      </w:pPr>
    </w:p>
    <w:p w:rsidR="00A2083A" w:rsidRDefault="00A2083A" w:rsidP="00EB6B35">
      <w:pPr>
        <w:rPr>
          <w:b/>
          <w:color w:val="2F5496" w:themeColor="accent5" w:themeShade="BF"/>
          <w:sz w:val="28"/>
          <w:szCs w:val="28"/>
        </w:rPr>
      </w:pPr>
    </w:p>
    <w:p w:rsidR="00233F81" w:rsidRDefault="00821552" w:rsidP="00821552">
      <w:pPr>
        <w:rPr>
          <w:b/>
          <w:color w:val="2F5496" w:themeColor="accent5" w:themeShade="BF"/>
          <w:sz w:val="28"/>
          <w:szCs w:val="28"/>
        </w:rPr>
      </w:pPr>
      <w:r>
        <w:rPr>
          <w:b/>
          <w:color w:val="2F5496" w:themeColor="accent5" w:themeShade="BF"/>
          <w:sz w:val="28"/>
          <w:szCs w:val="28"/>
        </w:rPr>
        <w:t>SWITZERLAND</w:t>
      </w:r>
    </w:p>
    <w:p w:rsidR="006464E7" w:rsidRPr="00306D41" w:rsidRDefault="00F3581C" w:rsidP="006464E7">
      <w:pPr>
        <w:autoSpaceDE w:val="0"/>
        <w:autoSpaceDN w:val="0"/>
        <w:adjustRightInd w:val="0"/>
        <w:spacing w:after="0" w:line="240" w:lineRule="auto"/>
        <w:rPr>
          <w:rFonts w:asciiTheme="minorHAnsi" w:hAnsiTheme="minorHAnsi"/>
          <w:color w:val="000000"/>
          <w:lang w:eastAsia="en-US"/>
        </w:rPr>
      </w:pPr>
      <w:r w:rsidRPr="00306D41">
        <w:rPr>
          <w:rFonts w:asciiTheme="minorHAnsi" w:hAnsiTheme="minorHAnsi"/>
          <w:color w:val="000000"/>
          <w:lang w:eastAsia="en-US"/>
        </w:rPr>
        <w:t>The National Working Group (NWG) on CHF reference rates is the forum for considering proposals to reform reference interest rates in Switzerland.</w:t>
      </w:r>
    </w:p>
    <w:p w:rsidR="00573B81" w:rsidRPr="00306D41" w:rsidRDefault="00573B81" w:rsidP="006464E7">
      <w:pPr>
        <w:autoSpaceDE w:val="0"/>
        <w:autoSpaceDN w:val="0"/>
        <w:adjustRightInd w:val="0"/>
        <w:spacing w:after="0" w:line="240" w:lineRule="auto"/>
        <w:rPr>
          <w:rFonts w:asciiTheme="minorHAnsi" w:hAnsiTheme="minorHAnsi"/>
          <w:color w:val="000000"/>
          <w:lang w:eastAsia="en-US"/>
        </w:rPr>
      </w:pPr>
    </w:p>
    <w:p w:rsidR="00573B81" w:rsidRPr="00306D41" w:rsidRDefault="00573B81" w:rsidP="006464E7">
      <w:pPr>
        <w:autoSpaceDE w:val="0"/>
        <w:autoSpaceDN w:val="0"/>
        <w:adjustRightInd w:val="0"/>
        <w:spacing w:after="0" w:line="240" w:lineRule="auto"/>
        <w:rPr>
          <w:rFonts w:asciiTheme="minorHAnsi" w:hAnsiTheme="minorHAnsi"/>
          <w:color w:val="000000"/>
          <w:lang w:eastAsia="en-US"/>
        </w:rPr>
      </w:pPr>
    </w:p>
    <w:p w:rsidR="00573B81" w:rsidRPr="00306D41" w:rsidRDefault="00573B81" w:rsidP="00573B81">
      <w:pPr>
        <w:rPr>
          <w:rFonts w:asciiTheme="minorHAnsi" w:hAnsiTheme="minorHAnsi"/>
        </w:rPr>
      </w:pPr>
      <w:r w:rsidRPr="00306D41">
        <w:rPr>
          <w:rFonts w:asciiTheme="minorHAnsi" w:hAnsiTheme="minorHAnsi"/>
        </w:rPr>
        <w:t>NWG efforts led to</w:t>
      </w:r>
      <w:r w:rsidR="00306D41">
        <w:rPr>
          <w:rFonts w:asciiTheme="minorHAnsi" w:hAnsiTheme="minorHAnsi"/>
        </w:rPr>
        <w:t xml:space="preserve"> </w:t>
      </w:r>
      <w:r w:rsidRPr="00306D41">
        <w:rPr>
          <w:rFonts w:asciiTheme="minorHAnsi" w:hAnsiTheme="minorHAnsi"/>
        </w:rPr>
        <w:t>reforms in the TOIS (</w:t>
      </w:r>
      <w:r w:rsidRPr="00306D41">
        <w:rPr>
          <w:rFonts w:asciiTheme="minorHAnsi" w:hAnsiTheme="minorHAnsi"/>
          <w:color w:val="000000"/>
          <w:lang w:eastAsia="en-US"/>
        </w:rPr>
        <w:t xml:space="preserve">unsecured tomorrow/next indexed swap) </w:t>
      </w:r>
      <w:r w:rsidRPr="00306D41">
        <w:rPr>
          <w:rFonts w:asciiTheme="minorHAnsi" w:hAnsiTheme="minorHAnsi"/>
        </w:rPr>
        <w:t xml:space="preserve">fixing, but the decreasing size of the panel and the lack of transactions made the fixing unsustainable. In 2015, the NWG investigated the possibility of a new unsecured reference rate anchored in transactions and quotes but concluded there was no broad and clear market support for it. At the beginning of 2016, the NWG decided to focus on the transition from TOIS to SARON (secured </w:t>
      </w:r>
      <w:r w:rsidRPr="00306D41">
        <w:rPr>
          <w:rFonts w:asciiTheme="minorHAnsi" w:hAnsiTheme="minorHAnsi"/>
          <w:lang w:eastAsia="en-US"/>
        </w:rPr>
        <w:t>Swiss Average Rate Overnight)</w:t>
      </w:r>
      <w:r w:rsidRPr="00306D41">
        <w:rPr>
          <w:rFonts w:asciiTheme="minorHAnsi" w:hAnsiTheme="minorHAnsi"/>
        </w:rPr>
        <w:t xml:space="preserve">. </w:t>
      </w:r>
    </w:p>
    <w:p w:rsidR="006464E7" w:rsidRDefault="00573B81" w:rsidP="00821552">
      <w:r w:rsidRPr="00306D41">
        <w:rPr>
          <w:rFonts w:asciiTheme="minorHAnsi" w:hAnsiTheme="minorHAnsi"/>
        </w:rPr>
        <w:t>The NWG recommended that SARON shall replace the TOIS fixing a</w:t>
      </w:r>
      <w:r w:rsidR="005A3D88">
        <w:rPr>
          <w:rFonts w:asciiTheme="minorHAnsi" w:hAnsiTheme="minorHAnsi"/>
        </w:rPr>
        <w:t>s a benchmark prior to its termination</w:t>
      </w:r>
      <w:r w:rsidRPr="00306D41">
        <w:rPr>
          <w:rFonts w:asciiTheme="minorHAnsi" w:hAnsiTheme="minorHAnsi"/>
        </w:rPr>
        <w:t xml:space="preserve"> on December 29, 2017.</w:t>
      </w:r>
      <w:r>
        <w:t xml:space="preserve"> </w:t>
      </w:r>
      <w:hyperlink r:id="rId38" w:history="1">
        <w:r w:rsidR="006464E7" w:rsidRPr="00586A96">
          <w:rPr>
            <w:rStyle w:val="Hyperlink"/>
          </w:rPr>
          <w:t>https://www.snb.ch/en/ifor/finmkt/fnmkt_benchm/id/finmkt_reformrates</w:t>
        </w:r>
      </w:hyperlink>
      <w:r w:rsidR="006464E7">
        <w:t xml:space="preserve"> </w:t>
      </w:r>
    </w:p>
    <w:p w:rsidR="006464E7" w:rsidRDefault="006464E7" w:rsidP="00821552">
      <w:pPr>
        <w:rPr>
          <w:b/>
          <w:color w:val="2F5496" w:themeColor="accent5" w:themeShade="BF"/>
          <w:sz w:val="28"/>
          <w:szCs w:val="28"/>
        </w:rPr>
      </w:pPr>
    </w:p>
    <w:p w:rsidR="00821552" w:rsidRDefault="00233F81" w:rsidP="00821552">
      <w:pPr>
        <w:rPr>
          <w:b/>
          <w:color w:val="2F5496" w:themeColor="accent5" w:themeShade="BF"/>
          <w:sz w:val="28"/>
          <w:szCs w:val="28"/>
        </w:rPr>
      </w:pPr>
      <w:r>
        <w:rPr>
          <w:b/>
          <w:color w:val="2F5496" w:themeColor="accent5" w:themeShade="BF"/>
          <w:sz w:val="28"/>
          <w:szCs w:val="28"/>
        </w:rPr>
        <w:t>SUMMARY</w:t>
      </w:r>
    </w:p>
    <w:p w:rsidR="00233F81" w:rsidRDefault="00233F81" w:rsidP="00821552">
      <w:r>
        <w:t xml:space="preserve">Reform of interest rate benchmarks continues at a steady pace throughout the world, guided by high level principles from </w:t>
      </w:r>
      <w:r w:rsidR="00C228D0">
        <w:t>IOSCO and the FSB</w:t>
      </w:r>
      <w:r>
        <w:t xml:space="preserve">.  Much work remains on </w:t>
      </w:r>
      <w:r w:rsidR="00352BF5">
        <w:t xml:space="preserve">the </w:t>
      </w:r>
      <w:r>
        <w:t xml:space="preserve">selection of risk-free rates, building </w:t>
      </w:r>
      <w:r w:rsidR="00352BF5">
        <w:t xml:space="preserve">of </w:t>
      </w:r>
      <w:r>
        <w:t xml:space="preserve">yield curves, </w:t>
      </w:r>
      <w:r w:rsidR="00352BF5">
        <w:t>implementation, and documentation.  Meeting target</w:t>
      </w:r>
      <w:r w:rsidR="00DB4028">
        <w:t xml:space="preserve"> date</w:t>
      </w:r>
      <w:r w:rsidR="00352BF5">
        <w:t xml:space="preserve">s for </w:t>
      </w:r>
      <w:r w:rsidR="00DB4028">
        <w:t xml:space="preserve">the </w:t>
      </w:r>
      <w:r w:rsidR="00352BF5">
        <w:t>replacement of benchmarks (such the FCA’s end-2021 for LIBOR) will require ongoing focus and progress.</w:t>
      </w:r>
    </w:p>
    <w:p w:rsidR="00DB4028" w:rsidRDefault="00DB4028" w:rsidP="00821552"/>
    <w:p w:rsidR="00DB4028" w:rsidRDefault="00DB4028" w:rsidP="00DB4028">
      <w:pPr>
        <w:jc w:val="right"/>
      </w:pPr>
      <w:r>
        <w:t>SEPTEMBER 2017</w:t>
      </w:r>
    </w:p>
    <w:p w:rsidR="00EB6B35" w:rsidRDefault="00EB6B35" w:rsidP="00821552"/>
    <w:sectPr w:rsidR="00EB6B35" w:rsidSect="00B827A7">
      <w:pgSz w:w="11906" w:h="16838"/>
      <w:pgMar w:top="1152"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82EA3"/>
    <w:multiLevelType w:val="multilevel"/>
    <w:tmpl w:val="AE32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701B4"/>
    <w:multiLevelType w:val="multilevel"/>
    <w:tmpl w:val="09508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E6B42"/>
    <w:multiLevelType w:val="multilevel"/>
    <w:tmpl w:val="464C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E70EE"/>
    <w:multiLevelType w:val="multilevel"/>
    <w:tmpl w:val="44AA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54AF8"/>
    <w:multiLevelType w:val="multilevel"/>
    <w:tmpl w:val="8F649D00"/>
    <w:lvl w:ilvl="0">
      <w:start w:val="21"/>
      <w:numFmt w:val="bullet"/>
      <w:lvlText w:val="-"/>
      <w:lvlJc w:val="left"/>
      <w:pPr>
        <w:tabs>
          <w:tab w:val="num" w:pos="720"/>
        </w:tabs>
        <w:ind w:left="720" w:hanging="360"/>
      </w:pPr>
      <w:rPr>
        <w:rFonts w:ascii="Arial" w:eastAsia="Times New Roman" w:hAnsi="Arial" w:cs="Arial" w:hint="default"/>
        <w:color w:val="222222"/>
        <w:sz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D0B26"/>
    <w:multiLevelType w:val="multilevel"/>
    <w:tmpl w:val="D98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81A54"/>
    <w:multiLevelType w:val="multilevel"/>
    <w:tmpl w:val="64C4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44BE4"/>
    <w:multiLevelType w:val="multilevel"/>
    <w:tmpl w:val="4324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430CC"/>
    <w:multiLevelType w:val="hybridMultilevel"/>
    <w:tmpl w:val="B66E2766"/>
    <w:lvl w:ilvl="0" w:tplc="3A68FC6E">
      <w:start w:val="21"/>
      <w:numFmt w:val="bullet"/>
      <w:lvlText w:val="-"/>
      <w:lvlJc w:val="left"/>
      <w:pPr>
        <w:ind w:left="720" w:hanging="360"/>
      </w:pPr>
      <w:rPr>
        <w:rFonts w:ascii="Arial" w:eastAsia="Times New Roman" w:hAnsi="Arial" w:cs="Arial" w:hint="default"/>
        <w:color w:val="222222"/>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7"/>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DC"/>
    <w:rsid w:val="0000389C"/>
    <w:rsid w:val="00015BBA"/>
    <w:rsid w:val="00042F47"/>
    <w:rsid w:val="0005499B"/>
    <w:rsid w:val="00067AB0"/>
    <w:rsid w:val="0009604E"/>
    <w:rsid w:val="000D46C1"/>
    <w:rsid w:val="000F3C67"/>
    <w:rsid w:val="0013534A"/>
    <w:rsid w:val="00175113"/>
    <w:rsid w:val="001A7867"/>
    <w:rsid w:val="001D2444"/>
    <w:rsid w:val="001D7258"/>
    <w:rsid w:val="001E79AA"/>
    <w:rsid w:val="00233F81"/>
    <w:rsid w:val="002435BA"/>
    <w:rsid w:val="00306D41"/>
    <w:rsid w:val="00352BF5"/>
    <w:rsid w:val="00356F0D"/>
    <w:rsid w:val="00356F79"/>
    <w:rsid w:val="003820A6"/>
    <w:rsid w:val="003A0C20"/>
    <w:rsid w:val="003B72F1"/>
    <w:rsid w:val="003E70CE"/>
    <w:rsid w:val="003F0079"/>
    <w:rsid w:val="003F7B94"/>
    <w:rsid w:val="004C19DD"/>
    <w:rsid w:val="004F6954"/>
    <w:rsid w:val="00504CE8"/>
    <w:rsid w:val="00573B81"/>
    <w:rsid w:val="00574317"/>
    <w:rsid w:val="00586455"/>
    <w:rsid w:val="005874D1"/>
    <w:rsid w:val="00590C3F"/>
    <w:rsid w:val="005A3D88"/>
    <w:rsid w:val="005B148D"/>
    <w:rsid w:val="00604202"/>
    <w:rsid w:val="00622A96"/>
    <w:rsid w:val="006304AA"/>
    <w:rsid w:val="006464E7"/>
    <w:rsid w:val="00663B68"/>
    <w:rsid w:val="00693BC4"/>
    <w:rsid w:val="006A2814"/>
    <w:rsid w:val="006B3570"/>
    <w:rsid w:val="006B7549"/>
    <w:rsid w:val="006C545D"/>
    <w:rsid w:val="006E172C"/>
    <w:rsid w:val="0070647F"/>
    <w:rsid w:val="00746A52"/>
    <w:rsid w:val="007B56C8"/>
    <w:rsid w:val="007E0D99"/>
    <w:rsid w:val="007F7DE4"/>
    <w:rsid w:val="00821552"/>
    <w:rsid w:val="00864ADC"/>
    <w:rsid w:val="008E6689"/>
    <w:rsid w:val="008F513B"/>
    <w:rsid w:val="0091071B"/>
    <w:rsid w:val="00917DD0"/>
    <w:rsid w:val="00936FFA"/>
    <w:rsid w:val="00963939"/>
    <w:rsid w:val="00977418"/>
    <w:rsid w:val="009B2CD4"/>
    <w:rsid w:val="00A2083A"/>
    <w:rsid w:val="00B30709"/>
    <w:rsid w:val="00B348C5"/>
    <w:rsid w:val="00B827A7"/>
    <w:rsid w:val="00BF3F18"/>
    <w:rsid w:val="00C228D0"/>
    <w:rsid w:val="00C34311"/>
    <w:rsid w:val="00C73A0A"/>
    <w:rsid w:val="00CB44F4"/>
    <w:rsid w:val="00CC05A6"/>
    <w:rsid w:val="00CF6797"/>
    <w:rsid w:val="00D4694F"/>
    <w:rsid w:val="00DB4028"/>
    <w:rsid w:val="00DF4202"/>
    <w:rsid w:val="00DF75FB"/>
    <w:rsid w:val="00E0556B"/>
    <w:rsid w:val="00E61D10"/>
    <w:rsid w:val="00E70D9D"/>
    <w:rsid w:val="00E721D4"/>
    <w:rsid w:val="00EB1E51"/>
    <w:rsid w:val="00EB6B35"/>
    <w:rsid w:val="00ED6A71"/>
    <w:rsid w:val="00F07A7A"/>
    <w:rsid w:val="00F231D1"/>
    <w:rsid w:val="00F3581C"/>
    <w:rsid w:val="00F42EAB"/>
    <w:rsid w:val="00F43BF0"/>
    <w:rsid w:val="00F91B63"/>
    <w:rsid w:val="00F94490"/>
    <w:rsid w:val="00FD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525C2-8CD4-4C8E-B69F-59D763F9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ADC"/>
    <w:pPr>
      <w:spacing w:after="200" w:line="276"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202"/>
    <w:rPr>
      <w:color w:val="0000FF"/>
      <w:u w:val="single"/>
    </w:rPr>
  </w:style>
  <w:style w:type="character" w:styleId="FollowedHyperlink">
    <w:name w:val="FollowedHyperlink"/>
    <w:basedOn w:val="DefaultParagraphFont"/>
    <w:uiPriority w:val="99"/>
    <w:semiHidden/>
    <w:unhideWhenUsed/>
    <w:rsid w:val="00CB44F4"/>
    <w:rPr>
      <w:color w:val="954F72" w:themeColor="followedHyperlink"/>
      <w:u w:val="single"/>
    </w:rPr>
  </w:style>
  <w:style w:type="paragraph" w:styleId="ListParagraph">
    <w:name w:val="List Paragraph"/>
    <w:basedOn w:val="Normal"/>
    <w:uiPriority w:val="34"/>
    <w:qFormat/>
    <w:rsid w:val="00C73A0A"/>
    <w:pPr>
      <w:ind w:left="720"/>
      <w:contextualSpacing/>
    </w:pPr>
  </w:style>
  <w:style w:type="paragraph" w:styleId="NormalWeb">
    <w:name w:val="Normal (Web)"/>
    <w:basedOn w:val="Normal"/>
    <w:uiPriority w:val="99"/>
    <w:unhideWhenUsed/>
    <w:rsid w:val="00015BBA"/>
    <w:pPr>
      <w:spacing w:after="240"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15BBA"/>
    <w:rPr>
      <w:i/>
      <w:iCs/>
    </w:rPr>
  </w:style>
  <w:style w:type="paragraph" w:customStyle="1" w:styleId="Default">
    <w:name w:val="Default"/>
    <w:rsid w:val="00EB6B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0599">
      <w:bodyDiv w:val="1"/>
      <w:marLeft w:val="0"/>
      <w:marRight w:val="0"/>
      <w:marTop w:val="0"/>
      <w:marBottom w:val="0"/>
      <w:divBdr>
        <w:top w:val="none" w:sz="0" w:space="0" w:color="auto"/>
        <w:left w:val="none" w:sz="0" w:space="0" w:color="auto"/>
        <w:bottom w:val="none" w:sz="0" w:space="0" w:color="auto"/>
        <w:right w:val="none" w:sz="0" w:space="0" w:color="auto"/>
      </w:divBdr>
      <w:divsChild>
        <w:div w:id="776800808">
          <w:marLeft w:val="150"/>
          <w:marRight w:val="150"/>
          <w:marTop w:val="150"/>
          <w:marBottom w:val="150"/>
          <w:divBdr>
            <w:top w:val="none" w:sz="0" w:space="0" w:color="auto"/>
            <w:left w:val="none" w:sz="0" w:space="0" w:color="auto"/>
            <w:bottom w:val="none" w:sz="0" w:space="0" w:color="auto"/>
            <w:right w:val="none" w:sz="0" w:space="0" w:color="auto"/>
          </w:divBdr>
          <w:divsChild>
            <w:div w:id="689911049">
              <w:marLeft w:val="0"/>
              <w:marRight w:val="0"/>
              <w:marTop w:val="0"/>
              <w:marBottom w:val="300"/>
              <w:divBdr>
                <w:top w:val="single" w:sz="6" w:space="15" w:color="DEDEDE"/>
                <w:left w:val="single" w:sz="6" w:space="15" w:color="DEDEDE"/>
                <w:bottom w:val="single" w:sz="6" w:space="15" w:color="DEDEDE"/>
                <w:right w:val="single" w:sz="6" w:space="15" w:color="DEDEDE"/>
              </w:divBdr>
            </w:div>
          </w:divsChild>
        </w:div>
        <w:div w:id="296686246">
          <w:marLeft w:val="150"/>
          <w:marRight w:val="150"/>
          <w:marTop w:val="150"/>
          <w:marBottom w:val="150"/>
          <w:divBdr>
            <w:top w:val="none" w:sz="0" w:space="0" w:color="auto"/>
            <w:left w:val="none" w:sz="0" w:space="0" w:color="auto"/>
            <w:bottom w:val="none" w:sz="0" w:space="0" w:color="auto"/>
            <w:right w:val="none" w:sz="0" w:space="0" w:color="auto"/>
          </w:divBdr>
          <w:divsChild>
            <w:div w:id="531918342">
              <w:marLeft w:val="0"/>
              <w:marRight w:val="0"/>
              <w:marTop w:val="0"/>
              <w:marBottom w:val="300"/>
              <w:divBdr>
                <w:top w:val="single" w:sz="6" w:space="15" w:color="DEDEDE"/>
                <w:left w:val="single" w:sz="6" w:space="15" w:color="DEDEDE"/>
                <w:bottom w:val="single" w:sz="6" w:space="15" w:color="DEDEDE"/>
                <w:right w:val="single" w:sz="6" w:space="15" w:color="DEDEDE"/>
              </w:divBdr>
            </w:div>
          </w:divsChild>
        </w:div>
      </w:divsChild>
    </w:div>
    <w:div w:id="154030893">
      <w:bodyDiv w:val="1"/>
      <w:marLeft w:val="0"/>
      <w:marRight w:val="0"/>
      <w:marTop w:val="0"/>
      <w:marBottom w:val="0"/>
      <w:divBdr>
        <w:top w:val="none" w:sz="0" w:space="0" w:color="auto"/>
        <w:left w:val="none" w:sz="0" w:space="0" w:color="auto"/>
        <w:bottom w:val="none" w:sz="0" w:space="0" w:color="auto"/>
        <w:right w:val="none" w:sz="0" w:space="0" w:color="auto"/>
      </w:divBdr>
    </w:div>
    <w:div w:id="271858934">
      <w:bodyDiv w:val="1"/>
      <w:marLeft w:val="0"/>
      <w:marRight w:val="0"/>
      <w:marTop w:val="0"/>
      <w:marBottom w:val="0"/>
      <w:divBdr>
        <w:top w:val="none" w:sz="0" w:space="0" w:color="auto"/>
        <w:left w:val="none" w:sz="0" w:space="0" w:color="auto"/>
        <w:bottom w:val="none" w:sz="0" w:space="0" w:color="auto"/>
        <w:right w:val="none" w:sz="0" w:space="0" w:color="auto"/>
      </w:divBdr>
      <w:divsChild>
        <w:div w:id="1082799208">
          <w:marLeft w:val="0"/>
          <w:marRight w:val="0"/>
          <w:marTop w:val="0"/>
          <w:marBottom w:val="0"/>
          <w:divBdr>
            <w:top w:val="none" w:sz="0" w:space="0" w:color="auto"/>
            <w:left w:val="none" w:sz="0" w:space="0" w:color="auto"/>
            <w:bottom w:val="none" w:sz="0" w:space="0" w:color="auto"/>
            <w:right w:val="none" w:sz="0" w:space="0" w:color="auto"/>
          </w:divBdr>
          <w:divsChild>
            <w:div w:id="397440036">
              <w:marLeft w:val="0"/>
              <w:marRight w:val="0"/>
              <w:marTop w:val="0"/>
              <w:marBottom w:val="0"/>
              <w:divBdr>
                <w:top w:val="none" w:sz="0" w:space="0" w:color="auto"/>
                <w:left w:val="none" w:sz="0" w:space="0" w:color="auto"/>
                <w:bottom w:val="none" w:sz="0" w:space="0" w:color="auto"/>
                <w:right w:val="none" w:sz="0" w:space="0" w:color="auto"/>
              </w:divBdr>
              <w:divsChild>
                <w:div w:id="150564145">
                  <w:marLeft w:val="0"/>
                  <w:marRight w:val="0"/>
                  <w:marTop w:val="0"/>
                  <w:marBottom w:val="225"/>
                  <w:divBdr>
                    <w:top w:val="none" w:sz="0" w:space="0" w:color="auto"/>
                    <w:left w:val="single" w:sz="6" w:space="11" w:color="CCCCCC"/>
                    <w:bottom w:val="none" w:sz="0" w:space="0" w:color="auto"/>
                    <w:right w:val="none" w:sz="0" w:space="0" w:color="auto"/>
                  </w:divBdr>
                  <w:divsChild>
                    <w:div w:id="19705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70">
      <w:bodyDiv w:val="1"/>
      <w:marLeft w:val="0"/>
      <w:marRight w:val="0"/>
      <w:marTop w:val="0"/>
      <w:marBottom w:val="0"/>
      <w:divBdr>
        <w:top w:val="none" w:sz="0" w:space="0" w:color="auto"/>
        <w:left w:val="none" w:sz="0" w:space="0" w:color="auto"/>
        <w:bottom w:val="none" w:sz="0" w:space="0" w:color="auto"/>
        <w:right w:val="none" w:sz="0" w:space="0" w:color="auto"/>
      </w:divBdr>
    </w:div>
    <w:div w:id="695619218">
      <w:bodyDiv w:val="1"/>
      <w:marLeft w:val="0"/>
      <w:marRight w:val="0"/>
      <w:marTop w:val="0"/>
      <w:marBottom w:val="0"/>
      <w:divBdr>
        <w:top w:val="none" w:sz="0" w:space="0" w:color="auto"/>
        <w:left w:val="none" w:sz="0" w:space="0" w:color="auto"/>
        <w:bottom w:val="none" w:sz="0" w:space="0" w:color="auto"/>
        <w:right w:val="none" w:sz="0" w:space="0" w:color="auto"/>
      </w:divBdr>
    </w:div>
    <w:div w:id="888806922">
      <w:bodyDiv w:val="1"/>
      <w:marLeft w:val="0"/>
      <w:marRight w:val="0"/>
      <w:marTop w:val="0"/>
      <w:marBottom w:val="0"/>
      <w:divBdr>
        <w:top w:val="none" w:sz="0" w:space="0" w:color="auto"/>
        <w:left w:val="none" w:sz="0" w:space="0" w:color="auto"/>
        <w:bottom w:val="none" w:sz="0" w:space="0" w:color="auto"/>
        <w:right w:val="none" w:sz="0" w:space="0" w:color="auto"/>
      </w:divBdr>
    </w:div>
    <w:div w:id="962230091">
      <w:bodyDiv w:val="1"/>
      <w:marLeft w:val="0"/>
      <w:marRight w:val="0"/>
      <w:marTop w:val="0"/>
      <w:marBottom w:val="0"/>
      <w:divBdr>
        <w:top w:val="none" w:sz="0" w:space="0" w:color="auto"/>
        <w:left w:val="none" w:sz="0" w:space="0" w:color="auto"/>
        <w:bottom w:val="none" w:sz="0" w:space="0" w:color="auto"/>
        <w:right w:val="none" w:sz="0" w:space="0" w:color="auto"/>
      </w:divBdr>
      <w:divsChild>
        <w:div w:id="1092552961">
          <w:marLeft w:val="0"/>
          <w:marRight w:val="0"/>
          <w:marTop w:val="240"/>
          <w:marBottom w:val="240"/>
          <w:divBdr>
            <w:top w:val="none" w:sz="0" w:space="0" w:color="auto"/>
            <w:left w:val="none" w:sz="0" w:space="0" w:color="auto"/>
            <w:bottom w:val="none" w:sz="0" w:space="0" w:color="auto"/>
            <w:right w:val="none" w:sz="0" w:space="0" w:color="auto"/>
          </w:divBdr>
        </w:div>
        <w:div w:id="1679884842">
          <w:marLeft w:val="0"/>
          <w:marRight w:val="0"/>
          <w:marTop w:val="0"/>
          <w:marBottom w:val="0"/>
          <w:divBdr>
            <w:top w:val="none" w:sz="0" w:space="0" w:color="auto"/>
            <w:left w:val="none" w:sz="0" w:space="0" w:color="auto"/>
            <w:bottom w:val="none" w:sz="0" w:space="0" w:color="auto"/>
            <w:right w:val="none" w:sz="0" w:space="0" w:color="auto"/>
          </w:divBdr>
        </w:div>
        <w:div w:id="237205754">
          <w:marLeft w:val="0"/>
          <w:marRight w:val="0"/>
          <w:marTop w:val="0"/>
          <w:marBottom w:val="0"/>
          <w:divBdr>
            <w:top w:val="none" w:sz="0" w:space="0" w:color="auto"/>
            <w:left w:val="none" w:sz="0" w:space="0" w:color="auto"/>
            <w:bottom w:val="none" w:sz="0" w:space="0" w:color="auto"/>
            <w:right w:val="none" w:sz="0" w:space="0" w:color="auto"/>
          </w:divBdr>
        </w:div>
      </w:divsChild>
    </w:div>
    <w:div w:id="1115751346">
      <w:bodyDiv w:val="1"/>
      <w:marLeft w:val="0"/>
      <w:marRight w:val="0"/>
      <w:marTop w:val="0"/>
      <w:marBottom w:val="0"/>
      <w:divBdr>
        <w:top w:val="none" w:sz="0" w:space="0" w:color="auto"/>
        <w:left w:val="none" w:sz="0" w:space="0" w:color="auto"/>
        <w:bottom w:val="none" w:sz="0" w:space="0" w:color="auto"/>
        <w:right w:val="none" w:sz="0" w:space="0" w:color="auto"/>
      </w:divBdr>
    </w:div>
    <w:div w:id="1208031800">
      <w:bodyDiv w:val="1"/>
      <w:marLeft w:val="0"/>
      <w:marRight w:val="0"/>
      <w:marTop w:val="0"/>
      <w:marBottom w:val="0"/>
      <w:divBdr>
        <w:top w:val="none" w:sz="0" w:space="0" w:color="auto"/>
        <w:left w:val="none" w:sz="0" w:space="0" w:color="auto"/>
        <w:bottom w:val="none" w:sz="0" w:space="30" w:color="auto"/>
        <w:right w:val="none" w:sz="0" w:space="0" w:color="auto"/>
      </w:divBdr>
      <w:divsChild>
        <w:div w:id="1890413120">
          <w:marLeft w:val="0"/>
          <w:marRight w:val="0"/>
          <w:marTop w:val="0"/>
          <w:marBottom w:val="0"/>
          <w:divBdr>
            <w:top w:val="none" w:sz="0" w:space="0" w:color="auto"/>
            <w:left w:val="none" w:sz="0" w:space="0" w:color="auto"/>
            <w:bottom w:val="none" w:sz="0" w:space="0" w:color="auto"/>
            <w:right w:val="none" w:sz="0" w:space="0" w:color="auto"/>
          </w:divBdr>
          <w:divsChild>
            <w:div w:id="1273703793">
              <w:marLeft w:val="0"/>
              <w:marRight w:val="0"/>
              <w:marTop w:val="0"/>
              <w:marBottom w:val="0"/>
              <w:divBdr>
                <w:top w:val="none" w:sz="0" w:space="0" w:color="auto"/>
                <w:left w:val="none" w:sz="0" w:space="0" w:color="auto"/>
                <w:bottom w:val="none" w:sz="0" w:space="0" w:color="auto"/>
                <w:right w:val="none" w:sz="0" w:space="0" w:color="auto"/>
              </w:divBdr>
              <w:divsChild>
                <w:div w:id="1593198739">
                  <w:marLeft w:val="0"/>
                  <w:marRight w:val="0"/>
                  <w:marTop w:val="0"/>
                  <w:marBottom w:val="0"/>
                  <w:divBdr>
                    <w:top w:val="none" w:sz="0" w:space="0" w:color="auto"/>
                    <w:left w:val="none" w:sz="0" w:space="0" w:color="auto"/>
                    <w:bottom w:val="none" w:sz="0" w:space="0" w:color="auto"/>
                    <w:right w:val="none" w:sz="0" w:space="0" w:color="auto"/>
                  </w:divBdr>
                  <w:divsChild>
                    <w:div w:id="2135294862">
                      <w:marLeft w:val="135"/>
                      <w:marRight w:val="0"/>
                      <w:marTop w:val="0"/>
                      <w:marBottom w:val="0"/>
                      <w:divBdr>
                        <w:top w:val="none" w:sz="0" w:space="0" w:color="auto"/>
                        <w:left w:val="none" w:sz="0" w:space="0" w:color="auto"/>
                        <w:bottom w:val="none" w:sz="0" w:space="0" w:color="auto"/>
                        <w:right w:val="none" w:sz="0" w:space="0" w:color="auto"/>
                      </w:divBdr>
                      <w:divsChild>
                        <w:div w:id="90594010">
                          <w:marLeft w:val="2325"/>
                          <w:marRight w:val="0"/>
                          <w:marTop w:val="0"/>
                          <w:marBottom w:val="0"/>
                          <w:divBdr>
                            <w:top w:val="none" w:sz="0" w:space="0" w:color="auto"/>
                            <w:left w:val="none" w:sz="0" w:space="0" w:color="auto"/>
                            <w:bottom w:val="none" w:sz="0" w:space="0" w:color="auto"/>
                            <w:right w:val="none" w:sz="0" w:space="0" w:color="auto"/>
                          </w:divBdr>
                          <w:divsChild>
                            <w:div w:id="2106723742">
                              <w:marLeft w:val="0"/>
                              <w:marRight w:val="0"/>
                              <w:marTop w:val="0"/>
                              <w:marBottom w:val="0"/>
                              <w:divBdr>
                                <w:top w:val="none" w:sz="0" w:space="0" w:color="auto"/>
                                <w:left w:val="none" w:sz="0" w:space="0" w:color="auto"/>
                                <w:bottom w:val="none" w:sz="0" w:space="0" w:color="auto"/>
                                <w:right w:val="none" w:sz="0" w:space="0" w:color="auto"/>
                              </w:divBdr>
                              <w:divsChild>
                                <w:div w:id="826365988">
                                  <w:marLeft w:val="0"/>
                                  <w:marRight w:val="0"/>
                                  <w:marTop w:val="0"/>
                                  <w:marBottom w:val="0"/>
                                  <w:divBdr>
                                    <w:top w:val="none" w:sz="0" w:space="0" w:color="auto"/>
                                    <w:left w:val="none" w:sz="0" w:space="0" w:color="auto"/>
                                    <w:bottom w:val="none" w:sz="0" w:space="0" w:color="auto"/>
                                    <w:right w:val="none" w:sz="0" w:space="0" w:color="auto"/>
                                  </w:divBdr>
                                  <w:divsChild>
                                    <w:div w:id="542596607">
                                      <w:marLeft w:val="0"/>
                                      <w:marRight w:val="0"/>
                                      <w:marTop w:val="0"/>
                                      <w:marBottom w:val="0"/>
                                      <w:divBdr>
                                        <w:top w:val="none" w:sz="0" w:space="0" w:color="auto"/>
                                        <w:left w:val="none" w:sz="0" w:space="0" w:color="auto"/>
                                        <w:bottom w:val="none" w:sz="0" w:space="0" w:color="auto"/>
                                        <w:right w:val="none" w:sz="0" w:space="0" w:color="auto"/>
                                      </w:divBdr>
                                      <w:divsChild>
                                        <w:div w:id="1946647068">
                                          <w:marLeft w:val="0"/>
                                          <w:marRight w:val="0"/>
                                          <w:marTop w:val="0"/>
                                          <w:marBottom w:val="0"/>
                                          <w:divBdr>
                                            <w:top w:val="none" w:sz="0" w:space="0" w:color="auto"/>
                                            <w:left w:val="none" w:sz="0" w:space="0" w:color="auto"/>
                                            <w:bottom w:val="none" w:sz="0" w:space="0" w:color="auto"/>
                                            <w:right w:val="none" w:sz="0" w:space="0" w:color="auto"/>
                                          </w:divBdr>
                                          <w:divsChild>
                                            <w:div w:id="1256667990">
                                              <w:marLeft w:val="0"/>
                                              <w:marRight w:val="0"/>
                                              <w:marTop w:val="0"/>
                                              <w:marBottom w:val="0"/>
                                              <w:divBdr>
                                                <w:top w:val="none" w:sz="0" w:space="0" w:color="auto"/>
                                                <w:left w:val="none" w:sz="0" w:space="0" w:color="auto"/>
                                                <w:bottom w:val="none" w:sz="0" w:space="0" w:color="auto"/>
                                                <w:right w:val="none" w:sz="0" w:space="0" w:color="auto"/>
                                              </w:divBdr>
                                              <w:divsChild>
                                                <w:div w:id="93481800">
                                                  <w:marLeft w:val="0"/>
                                                  <w:marRight w:val="0"/>
                                                  <w:marTop w:val="0"/>
                                                  <w:marBottom w:val="0"/>
                                                  <w:divBdr>
                                                    <w:top w:val="none" w:sz="0" w:space="0" w:color="auto"/>
                                                    <w:left w:val="none" w:sz="0" w:space="0" w:color="auto"/>
                                                    <w:bottom w:val="none" w:sz="0" w:space="0" w:color="auto"/>
                                                    <w:right w:val="none" w:sz="0" w:space="0" w:color="auto"/>
                                                  </w:divBdr>
                                                  <w:divsChild>
                                                    <w:div w:id="5280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23739">
      <w:bodyDiv w:val="1"/>
      <w:marLeft w:val="0"/>
      <w:marRight w:val="0"/>
      <w:marTop w:val="0"/>
      <w:marBottom w:val="0"/>
      <w:divBdr>
        <w:top w:val="none" w:sz="0" w:space="0" w:color="auto"/>
        <w:left w:val="none" w:sz="0" w:space="0" w:color="auto"/>
        <w:bottom w:val="none" w:sz="0" w:space="0" w:color="auto"/>
        <w:right w:val="none" w:sz="0" w:space="0" w:color="auto"/>
      </w:divBdr>
    </w:div>
    <w:div w:id="1557357501">
      <w:bodyDiv w:val="1"/>
      <w:marLeft w:val="0"/>
      <w:marRight w:val="0"/>
      <w:marTop w:val="0"/>
      <w:marBottom w:val="0"/>
      <w:divBdr>
        <w:top w:val="none" w:sz="0" w:space="0" w:color="auto"/>
        <w:left w:val="none" w:sz="0" w:space="0" w:color="auto"/>
        <w:bottom w:val="none" w:sz="0" w:space="0" w:color="auto"/>
        <w:right w:val="none" w:sz="0" w:space="0" w:color="auto"/>
      </w:divBdr>
    </w:div>
    <w:div w:id="1705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co.org/library/pubdocs/pdf/IOSCOPD549.pdf" TargetMode="External"/><Relationship Id="rId13" Type="http://schemas.openxmlformats.org/officeDocument/2006/relationships/hyperlink" Target="http://www.bankofengland.co.uk/markets/Pages/benchmarks/rfr.aspx" TargetMode="External"/><Relationship Id="rId18" Type="http://schemas.openxmlformats.org/officeDocument/2006/relationships/hyperlink" Target="https://www.icmagroup.org/events/PastEvents/briefing-call-for-icma-members-benchmark-reform-and-the-future-of-libor-implications-for-the-primary-bond-markets/" TargetMode="External"/><Relationship Id="rId26" Type="http://schemas.openxmlformats.org/officeDocument/2006/relationships/hyperlink" Target="https://www.emmi-benchmarks.eu/assets/files/D0562F-2017_EMMI%20Legal%20Position%20Paper_Final_PUBLIC.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ewyorkfed.org/medialibrary/microsites/arrc/files/2017/ARRC-press-release-Jun-22-2017.pdf" TargetMode="External"/><Relationship Id="rId34" Type="http://schemas.openxmlformats.org/officeDocument/2006/relationships/hyperlink" Target="https://www.tma.org.hk/en_market_benchmark.aspx" TargetMode="External"/><Relationship Id="rId7" Type="http://schemas.openxmlformats.org/officeDocument/2006/relationships/hyperlink" Target="http://www.iosco.org/library/pubdocs/pdf/IOSCOPD415.pdf" TargetMode="External"/><Relationship Id="rId12" Type="http://schemas.openxmlformats.org/officeDocument/2006/relationships/hyperlink" Target="https://www.gov.uk/government/uploads/system/uploads/attachment_data/file/191762/wheatley_review_libor_finalreport_280912.pdf" TargetMode="External"/><Relationship Id="rId17" Type="http://schemas.openxmlformats.org/officeDocument/2006/relationships/hyperlink" Target="http://www2.isda.org/search?headerSearch=1&amp;keyword=libor" TargetMode="External"/><Relationship Id="rId25" Type="http://schemas.openxmlformats.org/officeDocument/2006/relationships/hyperlink" Target="https://www.emmi-benchmarks.eu/assets/files/D0264G-2016%20Pre-Live%20Verification%20Program%20Guidelines.pdf" TargetMode="External"/><Relationship Id="rId33" Type="http://schemas.openxmlformats.org/officeDocument/2006/relationships/hyperlink" Target="http://www.hkma.gov.hk/media/eng/doc/key-functions/banking-stability/supervisory-policy-manual/CG-7.pdf" TargetMode="External"/><Relationship Id="rId38" Type="http://schemas.openxmlformats.org/officeDocument/2006/relationships/hyperlink" Target="https://www.snb.ch/en/ifor/finmkt/fnmkt_benchm/id/finmkt_reformrates" TargetMode="External"/><Relationship Id="rId2" Type="http://schemas.openxmlformats.org/officeDocument/2006/relationships/numbering" Target="numbering.xml"/><Relationship Id="rId16" Type="http://schemas.openxmlformats.org/officeDocument/2006/relationships/hyperlink" Target="https://www.fca.org.uk/news/speeches/the-future-of-libor" TargetMode="External"/><Relationship Id="rId20" Type="http://schemas.openxmlformats.org/officeDocument/2006/relationships/hyperlink" Target="https://www.newyorkfed.org/arrc/publications" TargetMode="External"/><Relationship Id="rId29" Type="http://schemas.openxmlformats.org/officeDocument/2006/relationships/hyperlink" Target="https://www.boj.or.jp/en/paym/market/sg/rfr1612c.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fsb.org/2016/07/reforming-major-interest-rate-benchmarks-3/" TargetMode="External"/><Relationship Id="rId24" Type="http://schemas.openxmlformats.org/officeDocument/2006/relationships/hyperlink" Target="https://www.emmi-benchmarks.eu/assets/files/D0273B-2016%20The%20path%20forward%20to%20Transaction-based%20Euribor.pdf" TargetMode="External"/><Relationship Id="rId32" Type="http://schemas.openxmlformats.org/officeDocument/2006/relationships/hyperlink" Target="https://financial.thomsonreuters.com/content/dam/openweb/documents/pdf/financial/corra-methodology.pdf" TargetMode="External"/><Relationship Id="rId37" Type="http://schemas.openxmlformats.org/officeDocument/2006/relationships/hyperlink" Target="https://www.resbank.co.za/Lists/News%20and%20Publications/Attachments/6859/Jibar%20Code%20of%20Conduct%20Aug%202015.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nkofengland.co.uk/markets/Documents/sterlingoperations/rfr/rfrwgwhitepaper0617.pdf" TargetMode="External"/><Relationship Id="rId23" Type="http://schemas.openxmlformats.org/officeDocument/2006/relationships/hyperlink" Target="https://www.emmi-benchmarks.eu/" TargetMode="External"/><Relationship Id="rId28" Type="http://schemas.openxmlformats.org/officeDocument/2006/relationships/hyperlink" Target="https://www.boj.or.jp/en/paym/market/sg/rfr1603c.pdf" TargetMode="External"/><Relationship Id="rId36" Type="http://schemas.openxmlformats.org/officeDocument/2006/relationships/hyperlink" Target="https://abs.org.sg/industry-guidelines/rate-setting-benchmarks" TargetMode="External"/><Relationship Id="rId10" Type="http://schemas.openxmlformats.org/officeDocument/2006/relationships/hyperlink" Target="http://www.fsb.org/2015/07/reforming-major-interest-rate-benchmarks-july-2015-progress-report/" TargetMode="External"/><Relationship Id="rId19" Type="http://schemas.openxmlformats.org/officeDocument/2006/relationships/hyperlink" Target="https://www.newyorkfed.org/arrc" TargetMode="External"/><Relationship Id="rId31" Type="http://schemas.openxmlformats.org/officeDocument/2006/relationships/hyperlink" Target="https://financial.thomsonreuters.com/content/dam/openweb/documents/pdf/financial/cdor-methodology.pdf" TargetMode="External"/><Relationship Id="rId4" Type="http://schemas.openxmlformats.org/officeDocument/2006/relationships/settings" Target="settings.xml"/><Relationship Id="rId9" Type="http://schemas.openxmlformats.org/officeDocument/2006/relationships/hyperlink" Target="http://www.fsb.org/2014/07/r_140722a/" TargetMode="External"/><Relationship Id="rId14" Type="http://schemas.openxmlformats.org/officeDocument/2006/relationships/hyperlink" Target="http://www.bankofengland.co.uk/markets/Documents/sterlingoperations/rfr/2016/rfrwgintrep16.pdf" TargetMode="External"/><Relationship Id="rId22" Type="http://schemas.openxmlformats.org/officeDocument/2006/relationships/hyperlink" Target="https://www.emmi-benchmarks.eu/assets/files/D2725D-2013-Annex%201%20to%20the%20Euribor%20Code%20of%20Conduct%20-%20COPB%20-%201%20October%202013-clean.pdf" TargetMode="External"/><Relationship Id="rId27" Type="http://schemas.openxmlformats.org/officeDocument/2006/relationships/hyperlink" Target="https://www.emmi-benchmarks.eu/assets/files/D0247F-2017-euribor%20PLVP%20outcome-statement_final.pdf" TargetMode="External"/><Relationship Id="rId30" Type="http://schemas.openxmlformats.org/officeDocument/2006/relationships/hyperlink" Target="http://www.asx.com.au/documents/products/bbsw-frequently-asked-questions.pdf" TargetMode="External"/><Relationship Id="rId35" Type="http://schemas.openxmlformats.org/officeDocument/2006/relationships/hyperlink" Target="https://nzfma.org/Site/practices_standards/reference_rate_ru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79EF-9CA0-414F-BEFF-7ACE1973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Eisenhardt</dc:creator>
  <cp:keywords/>
  <dc:description/>
  <cp:lastModifiedBy>Peter Eisenhardt</cp:lastModifiedBy>
  <cp:revision>3</cp:revision>
  <dcterms:created xsi:type="dcterms:W3CDTF">2017-09-19T07:10:00Z</dcterms:created>
  <dcterms:modified xsi:type="dcterms:W3CDTF">2017-09-29T07:22:00Z</dcterms:modified>
</cp:coreProperties>
</file>