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A4" w:rsidRDefault="000664E7">
      <w:r>
        <w:rPr>
          <w:rFonts w:eastAsia="Times New Roman" w:cs="Helvetica"/>
          <w:noProof/>
          <w:color w:val="000000"/>
          <w:sz w:val="24"/>
          <w:szCs w:val="24"/>
          <w:lang w:eastAsia="en-GB"/>
        </w:rPr>
        <w:drawing>
          <wp:anchor distT="0" distB="0" distL="114300" distR="114300" simplePos="0" relativeHeight="251658240" behindDoc="1" locked="0" layoutInCell="1" allowOverlap="1" wp14:anchorId="409A0F62" wp14:editId="714D0AF9">
            <wp:simplePos x="0" y="0"/>
            <wp:positionH relativeFrom="margin">
              <wp:posOffset>-60325</wp:posOffset>
            </wp:positionH>
            <wp:positionV relativeFrom="paragraph">
              <wp:posOffset>313055</wp:posOffset>
            </wp:positionV>
            <wp:extent cx="5731510" cy="67056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A Logo.jpg"/>
                    <pic:cNvPicPr/>
                  </pic:nvPicPr>
                  <pic:blipFill>
                    <a:blip r:embed="rId6">
                      <a:extLst>
                        <a:ext uri="{28A0092B-C50C-407E-A947-70E740481C1C}">
                          <a14:useLocalDpi xmlns:a14="http://schemas.microsoft.com/office/drawing/2010/main" val="0"/>
                        </a:ext>
                      </a:extLst>
                    </a:blip>
                    <a:stretch>
                      <a:fillRect/>
                    </a:stretch>
                  </pic:blipFill>
                  <pic:spPr>
                    <a:xfrm>
                      <a:off x="0" y="0"/>
                      <a:ext cx="5731510" cy="670560"/>
                    </a:xfrm>
                    <a:prstGeom prst="rect">
                      <a:avLst/>
                    </a:prstGeom>
                  </pic:spPr>
                </pic:pic>
              </a:graphicData>
            </a:graphic>
          </wp:anchor>
        </w:drawing>
      </w:r>
    </w:p>
    <w:p w:rsidR="00DB018B" w:rsidRDefault="00DB018B" w:rsidP="00F17BAA">
      <w:pPr>
        <w:tabs>
          <w:tab w:val="left" w:pos="1740"/>
        </w:tabs>
        <w:jc w:val="center"/>
        <w:rPr>
          <w:b/>
          <w:color w:val="FF0000"/>
          <w:sz w:val="36"/>
          <w:szCs w:val="36"/>
        </w:rPr>
      </w:pPr>
    </w:p>
    <w:p w:rsidR="006B41A4" w:rsidRDefault="006B41A4" w:rsidP="00B51491">
      <w:pPr>
        <w:tabs>
          <w:tab w:val="left" w:pos="1740"/>
        </w:tabs>
        <w:rPr>
          <w:b/>
          <w:color w:val="FF0000"/>
          <w:sz w:val="36"/>
          <w:szCs w:val="36"/>
        </w:rPr>
      </w:pPr>
    </w:p>
    <w:p w:rsidR="00170DB2" w:rsidRPr="00F17BAA" w:rsidRDefault="00170DB2" w:rsidP="00F17BAA">
      <w:pPr>
        <w:tabs>
          <w:tab w:val="left" w:pos="1740"/>
        </w:tabs>
        <w:jc w:val="center"/>
        <w:rPr>
          <w:b/>
          <w:color w:val="FF0000"/>
          <w:sz w:val="36"/>
          <w:szCs w:val="36"/>
        </w:rPr>
      </w:pPr>
    </w:p>
    <w:p w:rsidR="00E9715D" w:rsidRDefault="00B51491" w:rsidP="006B41A4">
      <w:pPr>
        <w:tabs>
          <w:tab w:val="left" w:pos="174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29</w:t>
      </w:r>
      <w:r w:rsidR="00B94AC6">
        <w:rPr>
          <w:sz w:val="24"/>
          <w:szCs w:val="24"/>
        </w:rPr>
        <w:t xml:space="preserve"> September 2016</w:t>
      </w:r>
    </w:p>
    <w:p w:rsidR="00E9715D" w:rsidRDefault="00E9715D" w:rsidP="006B41A4">
      <w:pPr>
        <w:tabs>
          <w:tab w:val="left" w:pos="1740"/>
        </w:tabs>
        <w:rPr>
          <w:sz w:val="24"/>
          <w:szCs w:val="24"/>
        </w:rPr>
      </w:pPr>
    </w:p>
    <w:p w:rsidR="00E51BD7" w:rsidRPr="00E51BD7" w:rsidRDefault="002339AB" w:rsidP="00833714">
      <w:pPr>
        <w:tabs>
          <w:tab w:val="left" w:pos="1740"/>
        </w:tabs>
        <w:rPr>
          <w:b/>
          <w:sz w:val="36"/>
          <w:szCs w:val="36"/>
          <w:u w:val="single"/>
        </w:rPr>
      </w:pPr>
      <w:r>
        <w:rPr>
          <w:b/>
          <w:sz w:val="36"/>
          <w:szCs w:val="36"/>
          <w:u w:val="single"/>
        </w:rPr>
        <w:t>PUBLIC COMMENT</w:t>
      </w:r>
      <w:r w:rsidR="00E51BD7" w:rsidRPr="00E51BD7">
        <w:rPr>
          <w:b/>
          <w:sz w:val="36"/>
          <w:szCs w:val="36"/>
          <w:u w:val="single"/>
        </w:rPr>
        <w:t xml:space="preserve"> </w:t>
      </w:r>
    </w:p>
    <w:p w:rsidR="00C8540C" w:rsidRPr="00833714" w:rsidRDefault="006B41A4" w:rsidP="00E51BD7">
      <w:pPr>
        <w:tabs>
          <w:tab w:val="left" w:pos="1740"/>
        </w:tabs>
        <w:spacing w:after="0"/>
        <w:rPr>
          <w:b/>
          <w:sz w:val="36"/>
          <w:szCs w:val="36"/>
        </w:rPr>
      </w:pPr>
      <w:r w:rsidRPr="00833714">
        <w:rPr>
          <w:b/>
          <w:color w:val="000000"/>
          <w:sz w:val="36"/>
          <w:szCs w:val="36"/>
          <w:shd w:val="clear" w:color="auto" w:fill="FFFFFF"/>
        </w:rPr>
        <w:t>I</w:t>
      </w:r>
      <w:r w:rsidR="00C8540C" w:rsidRPr="00833714">
        <w:rPr>
          <w:b/>
          <w:color w:val="000000"/>
          <w:sz w:val="36"/>
          <w:szCs w:val="36"/>
          <w:shd w:val="clear" w:color="auto" w:fill="FFFFFF"/>
        </w:rPr>
        <w:t>OSCO Consultation Report</w:t>
      </w:r>
    </w:p>
    <w:p w:rsidR="006B41A4" w:rsidRPr="00833714" w:rsidRDefault="006B41A4" w:rsidP="006B41A4">
      <w:pPr>
        <w:tabs>
          <w:tab w:val="left" w:pos="1740"/>
        </w:tabs>
        <w:rPr>
          <w:b/>
          <w:i/>
          <w:color w:val="000000"/>
          <w:sz w:val="28"/>
          <w:szCs w:val="28"/>
          <w:shd w:val="clear" w:color="auto" w:fill="FFFFFF"/>
        </w:rPr>
      </w:pPr>
      <w:r w:rsidRPr="00833714">
        <w:rPr>
          <w:b/>
          <w:i/>
          <w:color w:val="000000"/>
          <w:sz w:val="28"/>
          <w:szCs w:val="28"/>
          <w:shd w:val="clear" w:color="auto" w:fill="FFFFFF"/>
        </w:rPr>
        <w:t>Examination of Liquidity of the Secondary Corporate Bond Markets</w:t>
      </w:r>
    </w:p>
    <w:p w:rsidR="00C8540C" w:rsidRDefault="00C8540C" w:rsidP="006B41A4">
      <w:pPr>
        <w:spacing w:after="0" w:line="240" w:lineRule="auto"/>
        <w:rPr>
          <w:color w:val="000000"/>
          <w:sz w:val="24"/>
          <w:szCs w:val="24"/>
          <w:shd w:val="clear" w:color="auto" w:fill="FFFFFF"/>
        </w:rPr>
      </w:pPr>
    </w:p>
    <w:p w:rsidR="006B41A4" w:rsidRDefault="006B41A4" w:rsidP="006B41A4">
      <w:pPr>
        <w:spacing w:after="0" w:line="240" w:lineRule="auto"/>
        <w:rPr>
          <w:rFonts w:eastAsia="Times New Roman" w:cs="Helvetica"/>
          <w:color w:val="000000"/>
          <w:sz w:val="24"/>
          <w:szCs w:val="24"/>
          <w:lang w:eastAsia="en-GB"/>
        </w:rPr>
      </w:pPr>
      <w:r w:rsidRPr="00B37D46">
        <w:rPr>
          <w:color w:val="000000"/>
          <w:sz w:val="24"/>
          <w:szCs w:val="24"/>
          <w:shd w:val="clear" w:color="auto" w:fill="FFFFFF"/>
        </w:rPr>
        <w:t>The regulatory community and market participants have not yet found common ground on the issue of secondary corporate bond market liquidity.  IOSCO finds “</w:t>
      </w:r>
      <w:r w:rsidRPr="006B41A4">
        <w:rPr>
          <w:rFonts w:eastAsia="Times New Roman" w:cs="Helvetica"/>
          <w:i/>
          <w:color w:val="000000"/>
          <w:sz w:val="24"/>
          <w:szCs w:val="24"/>
          <w:lang w:eastAsia="en-GB"/>
        </w:rPr>
        <w:t>No substantial evidence that secondary corporate bond market liquidity has deteriorated markedly from historic norms for non-crisis periods</w:t>
      </w:r>
      <w:r w:rsidRPr="00B37D46">
        <w:rPr>
          <w:rFonts w:eastAsia="Times New Roman" w:cs="Helvetica"/>
          <w:i/>
          <w:color w:val="000000"/>
          <w:sz w:val="24"/>
          <w:szCs w:val="24"/>
          <w:lang w:eastAsia="en-GB"/>
        </w:rPr>
        <w:t>”</w:t>
      </w:r>
      <w:r w:rsidR="00B37D46">
        <w:rPr>
          <w:rFonts w:eastAsia="Times New Roman" w:cs="Helvetica"/>
          <w:color w:val="000000"/>
          <w:sz w:val="24"/>
          <w:szCs w:val="24"/>
          <w:lang w:eastAsia="en-GB"/>
        </w:rPr>
        <w:t>,</w:t>
      </w:r>
      <w:r w:rsidRPr="00B37D46">
        <w:rPr>
          <w:rFonts w:eastAsia="Times New Roman" w:cs="Helvetica"/>
          <w:i/>
          <w:color w:val="000000"/>
          <w:sz w:val="24"/>
          <w:szCs w:val="24"/>
          <w:lang w:eastAsia="en-GB"/>
        </w:rPr>
        <w:t xml:space="preserve"> </w:t>
      </w:r>
      <w:r w:rsidR="001F0F02">
        <w:rPr>
          <w:rFonts w:eastAsia="Times New Roman" w:cs="Helvetica"/>
          <w:color w:val="000000"/>
          <w:sz w:val="24"/>
          <w:szCs w:val="24"/>
          <w:lang w:eastAsia="en-GB"/>
        </w:rPr>
        <w:t xml:space="preserve">while </w:t>
      </w:r>
      <w:r w:rsidRPr="00B37D46">
        <w:rPr>
          <w:rFonts w:eastAsia="Times New Roman" w:cs="Helvetica"/>
          <w:color w:val="000000"/>
          <w:sz w:val="24"/>
          <w:szCs w:val="24"/>
          <w:lang w:eastAsia="en-GB"/>
        </w:rPr>
        <w:t xml:space="preserve">finding </w:t>
      </w:r>
      <w:r w:rsidR="001F0F02">
        <w:rPr>
          <w:rFonts w:eastAsia="Times New Roman" w:cs="Helvetica"/>
          <w:color w:val="000000"/>
          <w:sz w:val="24"/>
          <w:szCs w:val="24"/>
          <w:lang w:eastAsia="en-GB"/>
        </w:rPr>
        <w:t xml:space="preserve">in its survey </w:t>
      </w:r>
      <w:r w:rsidRPr="00B37D46">
        <w:rPr>
          <w:rFonts w:eastAsia="Times New Roman" w:cs="Helvetica"/>
          <w:color w:val="000000"/>
          <w:sz w:val="24"/>
          <w:szCs w:val="24"/>
          <w:lang w:eastAsia="en-GB"/>
        </w:rPr>
        <w:t xml:space="preserve">that 68% of the </w:t>
      </w:r>
      <w:r w:rsidR="00BF1BE7">
        <w:rPr>
          <w:rFonts w:eastAsia="Times New Roman" w:cs="Helvetica"/>
          <w:color w:val="000000"/>
          <w:sz w:val="24"/>
          <w:szCs w:val="24"/>
          <w:lang w:eastAsia="en-GB"/>
        </w:rPr>
        <w:t xml:space="preserve">buy-side </w:t>
      </w:r>
      <w:r w:rsidRPr="006B41A4">
        <w:rPr>
          <w:rFonts w:eastAsia="Times New Roman" w:cs="Helvetica"/>
          <w:color w:val="000000"/>
          <w:sz w:val="24"/>
          <w:szCs w:val="24"/>
          <w:lang w:eastAsia="en-GB"/>
        </w:rPr>
        <w:t xml:space="preserve">and </w:t>
      </w:r>
      <w:r w:rsidR="00B37D46" w:rsidRPr="00B37D46">
        <w:rPr>
          <w:rFonts w:eastAsia="Times New Roman" w:cs="Helvetica"/>
          <w:color w:val="000000"/>
          <w:sz w:val="24"/>
          <w:szCs w:val="24"/>
          <w:lang w:eastAsia="en-GB"/>
        </w:rPr>
        <w:t xml:space="preserve">80% of the sell-side </w:t>
      </w:r>
      <w:r w:rsidR="00B37D46">
        <w:rPr>
          <w:rFonts w:eastAsia="Times New Roman" w:cs="Helvetica"/>
          <w:color w:val="000000"/>
          <w:sz w:val="24"/>
          <w:szCs w:val="24"/>
          <w:lang w:eastAsia="en-GB"/>
        </w:rPr>
        <w:t>believe that liquidity has deteriorated.</w:t>
      </w:r>
    </w:p>
    <w:p w:rsidR="00974027" w:rsidRDefault="00974027" w:rsidP="006B41A4">
      <w:pPr>
        <w:spacing w:after="0" w:line="240" w:lineRule="auto"/>
        <w:rPr>
          <w:rFonts w:eastAsia="Times New Roman" w:cs="Helvetica"/>
          <w:color w:val="000000"/>
          <w:sz w:val="24"/>
          <w:szCs w:val="24"/>
          <w:lang w:eastAsia="en-GB"/>
        </w:rPr>
      </w:pPr>
    </w:p>
    <w:p w:rsidR="008E249C" w:rsidRPr="00833714" w:rsidRDefault="00B37D46" w:rsidP="006B41A4">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This response presents</w:t>
      </w:r>
      <w:r w:rsidR="0043351F">
        <w:rPr>
          <w:rFonts w:eastAsia="Times New Roman" w:cs="Helvetica"/>
          <w:color w:val="000000"/>
          <w:sz w:val="24"/>
          <w:szCs w:val="24"/>
          <w:lang w:eastAsia="en-GB"/>
        </w:rPr>
        <w:t xml:space="preserve"> </w:t>
      </w:r>
      <w:r w:rsidR="007875A9">
        <w:rPr>
          <w:rFonts w:eastAsia="Times New Roman" w:cs="Helvetica"/>
          <w:color w:val="000000"/>
          <w:sz w:val="24"/>
          <w:szCs w:val="24"/>
          <w:lang w:eastAsia="en-GB"/>
        </w:rPr>
        <w:t>a market interpretation</w:t>
      </w:r>
      <w:r>
        <w:rPr>
          <w:rFonts w:eastAsia="Times New Roman" w:cs="Helvetica"/>
          <w:color w:val="000000"/>
          <w:sz w:val="24"/>
          <w:szCs w:val="24"/>
          <w:lang w:eastAsia="en-GB"/>
        </w:rPr>
        <w:t xml:space="preserve"> of data used in the IOSCO rep</w:t>
      </w:r>
      <w:r w:rsidR="007502B1">
        <w:rPr>
          <w:rFonts w:eastAsia="Times New Roman" w:cs="Helvetica"/>
          <w:color w:val="000000"/>
          <w:sz w:val="24"/>
          <w:szCs w:val="24"/>
          <w:lang w:eastAsia="en-GB"/>
        </w:rPr>
        <w:t xml:space="preserve">ort, as well as </w:t>
      </w:r>
      <w:r w:rsidR="00974027">
        <w:rPr>
          <w:rFonts w:eastAsia="Times New Roman" w:cs="Helvetica"/>
          <w:color w:val="000000"/>
          <w:sz w:val="24"/>
          <w:szCs w:val="24"/>
          <w:lang w:eastAsia="en-GB"/>
        </w:rPr>
        <w:t xml:space="preserve">wider reaching </w:t>
      </w:r>
      <w:r>
        <w:rPr>
          <w:rFonts w:eastAsia="Times New Roman" w:cs="Helvetica"/>
          <w:color w:val="000000"/>
          <w:sz w:val="24"/>
          <w:szCs w:val="24"/>
          <w:lang w:eastAsia="en-GB"/>
        </w:rPr>
        <w:t xml:space="preserve">data </w:t>
      </w:r>
      <w:r w:rsidR="00974027">
        <w:rPr>
          <w:rFonts w:eastAsia="Times New Roman" w:cs="Helvetica"/>
          <w:color w:val="000000"/>
          <w:sz w:val="24"/>
          <w:szCs w:val="24"/>
          <w:lang w:eastAsia="en-GB"/>
        </w:rPr>
        <w:t xml:space="preserve">for a more complete picture </w:t>
      </w:r>
      <w:r>
        <w:rPr>
          <w:rFonts w:eastAsia="Times New Roman" w:cs="Helvetica"/>
          <w:color w:val="000000"/>
          <w:sz w:val="24"/>
          <w:szCs w:val="24"/>
          <w:lang w:eastAsia="en-GB"/>
        </w:rPr>
        <w:t>(as requested)</w:t>
      </w:r>
      <w:r w:rsidR="001F0F02">
        <w:rPr>
          <w:rFonts w:eastAsia="Times New Roman" w:cs="Helvetica"/>
          <w:color w:val="000000"/>
          <w:sz w:val="24"/>
          <w:szCs w:val="24"/>
          <w:lang w:eastAsia="en-GB"/>
        </w:rPr>
        <w:t xml:space="preserve"> in support</w:t>
      </w:r>
      <w:r>
        <w:rPr>
          <w:rFonts w:eastAsia="Times New Roman" w:cs="Helvetica"/>
          <w:color w:val="000000"/>
          <w:sz w:val="24"/>
          <w:szCs w:val="24"/>
          <w:lang w:eastAsia="en-GB"/>
        </w:rPr>
        <w:t>.</w:t>
      </w:r>
      <w:r w:rsidR="008E249C">
        <w:rPr>
          <w:rFonts w:eastAsia="Times New Roman" w:cs="Helvetica"/>
          <w:color w:val="000000"/>
          <w:sz w:val="24"/>
          <w:szCs w:val="24"/>
          <w:lang w:eastAsia="en-GB"/>
        </w:rPr>
        <w:t xml:space="preserve">  </w:t>
      </w:r>
      <w:r w:rsidR="00A931DA">
        <w:rPr>
          <w:rFonts w:eastAsia="Times New Roman" w:cs="Helvetica"/>
          <w:color w:val="000000"/>
          <w:sz w:val="24"/>
          <w:szCs w:val="24"/>
          <w:lang w:eastAsia="en-GB"/>
        </w:rPr>
        <w:t>S</w:t>
      </w:r>
      <w:r w:rsidR="008E249C">
        <w:rPr>
          <w:rFonts w:eastAsia="Times New Roman" w:cs="Helvetica"/>
          <w:color w:val="000000"/>
          <w:sz w:val="24"/>
          <w:szCs w:val="24"/>
          <w:lang w:eastAsia="en-GB"/>
        </w:rPr>
        <w:t>ources are the Oliver Wyman’s</w:t>
      </w:r>
      <w:r w:rsidR="00833714">
        <w:rPr>
          <w:rFonts w:eastAsia="Times New Roman" w:cs="Helvetica"/>
          <w:color w:val="000000"/>
          <w:sz w:val="24"/>
          <w:szCs w:val="24"/>
          <w:lang w:eastAsia="en-GB"/>
        </w:rPr>
        <w:t xml:space="preserve"> </w:t>
      </w:r>
      <w:r w:rsidR="00833714" w:rsidRPr="00833714">
        <w:rPr>
          <w:rFonts w:eastAsia="Times New Roman" w:cs="Helvetica"/>
          <w:i/>
          <w:color w:val="000000"/>
          <w:sz w:val="24"/>
          <w:szCs w:val="24"/>
          <w:lang w:eastAsia="en-GB"/>
        </w:rPr>
        <w:t>Interaction, Coherence, and overall Calibration of Post Crisis Basel Reforms</w:t>
      </w:r>
      <w:r w:rsidR="00833714">
        <w:t xml:space="preserve"> </w:t>
      </w:r>
      <w:r w:rsidR="00833714" w:rsidRPr="00833714">
        <w:rPr>
          <w:sz w:val="24"/>
          <w:szCs w:val="24"/>
        </w:rPr>
        <w:t>(August 2016)</w:t>
      </w:r>
      <w:r w:rsidR="008E249C">
        <w:rPr>
          <w:rFonts w:eastAsia="Times New Roman" w:cs="Helvetica"/>
          <w:color w:val="000000"/>
          <w:sz w:val="24"/>
          <w:szCs w:val="24"/>
          <w:lang w:eastAsia="en-GB"/>
        </w:rPr>
        <w:t xml:space="preserve">   </w:t>
      </w:r>
      <w:hyperlink r:id="rId7" w:history="1">
        <w:r w:rsidR="008E249C" w:rsidRPr="00FA0DA0">
          <w:rPr>
            <w:rStyle w:val="Hyperlink"/>
            <w:rFonts w:eastAsia="Times New Roman" w:cs="Helvetica"/>
            <w:sz w:val="24"/>
            <w:szCs w:val="24"/>
            <w:lang w:eastAsia="en-GB"/>
          </w:rPr>
          <w:t>http://www.oliverwyman.com/content/dam/oliver-wyman/global/en/2016/aug/post-crisis-basel-reforms.pdf</w:t>
        </w:r>
      </w:hyperlink>
      <w:r w:rsidR="008E249C">
        <w:rPr>
          <w:rFonts w:eastAsia="Times New Roman" w:cs="Helvetica"/>
          <w:color w:val="000000"/>
          <w:sz w:val="24"/>
          <w:szCs w:val="24"/>
          <w:lang w:eastAsia="en-GB"/>
        </w:rPr>
        <w:t xml:space="preserve"> </w:t>
      </w:r>
      <w:r w:rsidR="00833714">
        <w:rPr>
          <w:rFonts w:eastAsia="Times New Roman" w:cs="Helvetica"/>
          <w:color w:val="000000"/>
          <w:sz w:val="24"/>
          <w:szCs w:val="24"/>
          <w:lang w:eastAsia="en-GB"/>
        </w:rPr>
        <w:t xml:space="preserve">and the International Capital Markets Association’s </w:t>
      </w:r>
      <w:r w:rsidR="00833714">
        <w:rPr>
          <w:rFonts w:eastAsia="Times New Roman" w:cs="Helvetica"/>
          <w:i/>
          <w:color w:val="000000"/>
          <w:sz w:val="24"/>
          <w:szCs w:val="24"/>
          <w:lang w:eastAsia="en-GB"/>
        </w:rPr>
        <w:t xml:space="preserve">Remaking the Corporate Bond Market </w:t>
      </w:r>
      <w:r w:rsidR="00833714">
        <w:rPr>
          <w:rFonts w:eastAsia="Times New Roman" w:cs="Helvetica"/>
          <w:color w:val="000000"/>
          <w:sz w:val="24"/>
          <w:szCs w:val="24"/>
          <w:lang w:eastAsia="en-GB"/>
        </w:rPr>
        <w:t xml:space="preserve">(July 2016) </w:t>
      </w:r>
      <w:hyperlink r:id="rId8" w:history="1">
        <w:r w:rsidR="00833714" w:rsidRPr="00FA0DA0">
          <w:rPr>
            <w:rStyle w:val="Hyperlink"/>
            <w:rFonts w:eastAsia="Times New Roman" w:cs="Helvetica"/>
            <w:sz w:val="24"/>
            <w:szCs w:val="24"/>
            <w:lang w:eastAsia="en-GB"/>
          </w:rPr>
          <w:t>http://www.icmagroup.org/Regulatory-Policy-and-Market-Practice/Secondary-Markets/survey-report-liquidity-in-the-european-secondary-bond-market-perspectives-from-the-market/</w:t>
        </w:r>
      </w:hyperlink>
      <w:r w:rsidR="00833714">
        <w:rPr>
          <w:rFonts w:eastAsia="Times New Roman" w:cs="Helvetica"/>
          <w:color w:val="000000"/>
          <w:sz w:val="24"/>
          <w:szCs w:val="24"/>
          <w:lang w:eastAsia="en-GB"/>
        </w:rPr>
        <w:t xml:space="preserve"> .</w:t>
      </w:r>
    </w:p>
    <w:p w:rsidR="00EB20B1" w:rsidRDefault="00EB20B1" w:rsidP="006B41A4">
      <w:pPr>
        <w:spacing w:after="0" w:line="240" w:lineRule="auto"/>
        <w:rPr>
          <w:rFonts w:eastAsia="Times New Roman" w:cs="Helvetica"/>
          <w:color w:val="000000"/>
          <w:sz w:val="24"/>
          <w:szCs w:val="24"/>
          <w:lang w:eastAsia="en-GB"/>
        </w:rPr>
      </w:pPr>
    </w:p>
    <w:p w:rsidR="00F17BAA" w:rsidRDefault="00F17BAA" w:rsidP="006B41A4">
      <w:pPr>
        <w:spacing w:after="0" w:line="240" w:lineRule="auto"/>
        <w:rPr>
          <w:rFonts w:eastAsia="Times New Roman" w:cs="Helvetica"/>
          <w:b/>
          <w:color w:val="000000"/>
          <w:sz w:val="28"/>
          <w:szCs w:val="28"/>
          <w:u w:val="single"/>
          <w:lang w:eastAsia="en-GB"/>
        </w:rPr>
      </w:pPr>
    </w:p>
    <w:p w:rsidR="00833714" w:rsidRPr="00833714" w:rsidRDefault="00EA27AB" w:rsidP="006B41A4">
      <w:pPr>
        <w:spacing w:after="0" w:line="240" w:lineRule="auto"/>
        <w:rPr>
          <w:rFonts w:eastAsia="Times New Roman" w:cs="Helvetica"/>
          <w:b/>
          <w:color w:val="000000"/>
          <w:sz w:val="28"/>
          <w:szCs w:val="28"/>
          <w:u w:val="single"/>
          <w:lang w:eastAsia="en-GB"/>
        </w:rPr>
      </w:pPr>
      <w:r>
        <w:rPr>
          <w:rFonts w:eastAsia="Times New Roman" w:cs="Helvetica"/>
          <w:b/>
          <w:color w:val="000000"/>
          <w:sz w:val="28"/>
          <w:szCs w:val="28"/>
          <w:u w:val="single"/>
          <w:lang w:eastAsia="en-GB"/>
        </w:rPr>
        <w:t xml:space="preserve">IOSCO KEY </w:t>
      </w:r>
      <w:r w:rsidR="00833714">
        <w:rPr>
          <w:rFonts w:eastAsia="Times New Roman" w:cs="Helvetica"/>
          <w:b/>
          <w:color w:val="000000"/>
          <w:sz w:val="28"/>
          <w:szCs w:val="28"/>
          <w:u w:val="single"/>
          <w:lang w:eastAsia="en-GB"/>
        </w:rPr>
        <w:t>METRICS</w:t>
      </w:r>
    </w:p>
    <w:p w:rsidR="00833714" w:rsidRDefault="00833714" w:rsidP="006B41A4">
      <w:pPr>
        <w:spacing w:after="0" w:line="240" w:lineRule="auto"/>
        <w:rPr>
          <w:rFonts w:eastAsia="Times New Roman" w:cs="Helvetica"/>
          <w:color w:val="000000"/>
          <w:sz w:val="24"/>
          <w:szCs w:val="24"/>
          <w:lang w:eastAsia="en-GB"/>
        </w:rPr>
      </w:pPr>
    </w:p>
    <w:p w:rsidR="00974027" w:rsidRDefault="00FF3784" w:rsidP="00974027">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IOSCO points to three measures – volume, bid/ask spread, and price impact of trades – which it believes indic</w:t>
      </w:r>
      <w:r w:rsidR="00B94AC6">
        <w:rPr>
          <w:rFonts w:eastAsia="Times New Roman" w:cs="Helvetica"/>
          <w:color w:val="000000"/>
          <w:sz w:val="24"/>
          <w:szCs w:val="24"/>
          <w:lang w:eastAsia="en-GB"/>
        </w:rPr>
        <w:t>ate improving liquidity.</w:t>
      </w:r>
      <w:r w:rsidR="001F0F02">
        <w:rPr>
          <w:rFonts w:eastAsia="Times New Roman" w:cs="Helvetica"/>
          <w:color w:val="000000"/>
          <w:sz w:val="24"/>
          <w:szCs w:val="24"/>
          <w:lang w:eastAsia="en-GB"/>
        </w:rPr>
        <w:t xml:space="preserve">  </w:t>
      </w:r>
      <w:r w:rsidR="00974027">
        <w:rPr>
          <w:rFonts w:eastAsia="Times New Roman" w:cs="Helvetica"/>
          <w:color w:val="000000"/>
          <w:sz w:val="24"/>
          <w:szCs w:val="24"/>
          <w:lang w:eastAsia="en-GB"/>
        </w:rPr>
        <w:t xml:space="preserve">One general remark is that the analysis draws conclusions on a very broad level and does not take into account differences within different regions, markets, and bonds.  </w:t>
      </w:r>
    </w:p>
    <w:p w:rsidR="00EB20B1" w:rsidRDefault="00EB20B1" w:rsidP="006B41A4">
      <w:pPr>
        <w:spacing w:after="0" w:line="240" w:lineRule="auto"/>
        <w:rPr>
          <w:rFonts w:eastAsia="Times New Roman" w:cs="Helvetica"/>
          <w:color w:val="000000"/>
          <w:sz w:val="24"/>
          <w:szCs w:val="24"/>
          <w:lang w:eastAsia="en-GB"/>
        </w:rPr>
      </w:pPr>
    </w:p>
    <w:p w:rsidR="00FF3784" w:rsidRDefault="00FF3784" w:rsidP="006B41A4">
      <w:pPr>
        <w:spacing w:after="0" w:line="240" w:lineRule="auto"/>
        <w:rPr>
          <w:rFonts w:eastAsia="Times New Roman" w:cs="Helvetica"/>
          <w:color w:val="000000"/>
          <w:sz w:val="24"/>
          <w:szCs w:val="24"/>
          <w:lang w:eastAsia="en-GB"/>
        </w:rPr>
      </w:pPr>
    </w:p>
    <w:p w:rsidR="00FF3784" w:rsidRDefault="00E9715D" w:rsidP="006B41A4">
      <w:pPr>
        <w:spacing w:after="0" w:line="240" w:lineRule="auto"/>
        <w:rPr>
          <w:rFonts w:eastAsia="Times New Roman" w:cs="Helvetica"/>
          <w:b/>
          <w:color w:val="000000"/>
          <w:sz w:val="24"/>
          <w:szCs w:val="24"/>
          <w:lang w:eastAsia="en-GB"/>
        </w:rPr>
      </w:pPr>
      <w:r>
        <w:rPr>
          <w:rFonts w:eastAsia="Times New Roman" w:cs="Helvetica"/>
          <w:b/>
          <w:color w:val="000000"/>
          <w:sz w:val="24"/>
          <w:szCs w:val="24"/>
          <w:lang w:eastAsia="en-GB"/>
        </w:rPr>
        <w:t>Volume</w:t>
      </w:r>
    </w:p>
    <w:p w:rsidR="00D873A3" w:rsidRDefault="007502B1" w:rsidP="006B41A4">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IOSCO no</w:t>
      </w:r>
      <w:r w:rsidR="008E249C">
        <w:rPr>
          <w:rFonts w:eastAsia="Times New Roman" w:cs="Helvetica"/>
          <w:color w:val="000000"/>
          <w:sz w:val="24"/>
          <w:szCs w:val="24"/>
          <w:lang w:eastAsia="en-GB"/>
        </w:rPr>
        <w:t>tes that volumes are increasing but not keeping pace</w:t>
      </w:r>
      <w:r w:rsidR="001F0F02">
        <w:rPr>
          <w:rFonts w:eastAsia="Times New Roman" w:cs="Helvetica"/>
          <w:color w:val="000000"/>
          <w:sz w:val="24"/>
          <w:szCs w:val="24"/>
          <w:lang w:eastAsia="en-GB"/>
        </w:rPr>
        <w:t xml:space="preserve"> wit</w:t>
      </w:r>
      <w:r>
        <w:rPr>
          <w:rFonts w:eastAsia="Times New Roman" w:cs="Helvetica"/>
          <w:color w:val="000000"/>
          <w:sz w:val="24"/>
          <w:szCs w:val="24"/>
          <w:lang w:eastAsia="en-GB"/>
        </w:rPr>
        <w:t>h market growth</w:t>
      </w:r>
      <w:r w:rsidR="00C3090A">
        <w:rPr>
          <w:rFonts w:eastAsia="Times New Roman" w:cs="Helvetica"/>
          <w:color w:val="000000"/>
          <w:sz w:val="24"/>
          <w:szCs w:val="24"/>
          <w:lang w:eastAsia="en-GB"/>
        </w:rPr>
        <w:t xml:space="preserve">.  The market sees this as </w:t>
      </w:r>
      <w:r>
        <w:rPr>
          <w:rFonts w:eastAsia="Times New Roman" w:cs="Helvetica"/>
          <w:color w:val="000000"/>
          <w:sz w:val="24"/>
          <w:szCs w:val="24"/>
          <w:lang w:eastAsia="en-GB"/>
        </w:rPr>
        <w:t>decreased liquidity</w:t>
      </w:r>
      <w:r w:rsidR="008E249C">
        <w:rPr>
          <w:rFonts w:eastAsia="Times New Roman" w:cs="Helvetica"/>
          <w:color w:val="000000"/>
          <w:sz w:val="24"/>
          <w:szCs w:val="24"/>
          <w:lang w:eastAsia="en-GB"/>
        </w:rPr>
        <w:t>.</w:t>
      </w:r>
      <w:r w:rsidR="00A931DA">
        <w:rPr>
          <w:rFonts w:eastAsia="Times New Roman" w:cs="Helvetica"/>
          <w:color w:val="000000"/>
          <w:sz w:val="24"/>
          <w:szCs w:val="24"/>
          <w:lang w:eastAsia="en-GB"/>
        </w:rPr>
        <w:t xml:space="preserve">  </w:t>
      </w:r>
      <w:r w:rsidR="00E51BD7">
        <w:rPr>
          <w:rFonts w:eastAsia="Times New Roman" w:cs="Helvetica"/>
          <w:color w:val="000000"/>
          <w:sz w:val="24"/>
          <w:szCs w:val="24"/>
          <w:lang w:eastAsia="en-GB"/>
        </w:rPr>
        <w:t xml:space="preserve">Using aggregated figures from </w:t>
      </w:r>
      <w:r w:rsidR="00A931DA">
        <w:rPr>
          <w:rFonts w:eastAsia="Times New Roman" w:cs="Helvetica"/>
          <w:color w:val="000000"/>
          <w:sz w:val="24"/>
          <w:szCs w:val="24"/>
          <w:lang w:eastAsia="en-GB"/>
        </w:rPr>
        <w:t>IOSCO’</w:t>
      </w:r>
      <w:r w:rsidR="00E51BD7">
        <w:rPr>
          <w:rFonts w:eastAsia="Times New Roman" w:cs="Helvetica"/>
          <w:color w:val="000000"/>
          <w:sz w:val="24"/>
          <w:szCs w:val="24"/>
          <w:lang w:eastAsia="en-GB"/>
        </w:rPr>
        <w:t xml:space="preserve">s survey of regulators, corporate bond outstandings increased by about 22% while volumes </w:t>
      </w:r>
      <w:r w:rsidR="00810C20">
        <w:rPr>
          <w:rFonts w:eastAsia="Times New Roman" w:cs="Helvetica"/>
          <w:color w:val="000000"/>
          <w:sz w:val="24"/>
          <w:szCs w:val="24"/>
          <w:lang w:eastAsia="en-GB"/>
        </w:rPr>
        <w:t xml:space="preserve">increased </w:t>
      </w:r>
      <w:r w:rsidR="00810C20">
        <w:rPr>
          <w:rFonts w:eastAsia="Times New Roman" w:cs="Helvetica"/>
          <w:color w:val="000000"/>
          <w:sz w:val="24"/>
          <w:szCs w:val="24"/>
          <w:lang w:eastAsia="en-GB"/>
        </w:rPr>
        <w:lastRenderedPageBreak/>
        <w:t>by</w:t>
      </w:r>
      <w:r w:rsidR="00E51BD7">
        <w:rPr>
          <w:rFonts w:eastAsia="Times New Roman" w:cs="Helvetica"/>
          <w:color w:val="000000"/>
          <w:sz w:val="24"/>
          <w:szCs w:val="24"/>
          <w:lang w:eastAsia="en-GB"/>
        </w:rPr>
        <w:t xml:space="preserve"> </w:t>
      </w:r>
      <w:r w:rsidR="00362937">
        <w:rPr>
          <w:rFonts w:eastAsia="Times New Roman" w:cs="Helvetica"/>
          <w:color w:val="000000"/>
          <w:sz w:val="24"/>
          <w:szCs w:val="24"/>
          <w:lang w:eastAsia="en-GB"/>
        </w:rPr>
        <w:t xml:space="preserve">only </w:t>
      </w:r>
      <w:r w:rsidR="00E51BD7">
        <w:rPr>
          <w:rFonts w:eastAsia="Times New Roman" w:cs="Helvetica"/>
          <w:color w:val="000000"/>
          <w:sz w:val="24"/>
          <w:szCs w:val="24"/>
          <w:lang w:eastAsia="en-GB"/>
        </w:rPr>
        <w:t>about 8% from 2010-14.</w:t>
      </w:r>
      <w:r w:rsidR="009914AD">
        <w:rPr>
          <w:rFonts w:eastAsia="Times New Roman" w:cs="Helvetica"/>
          <w:color w:val="000000"/>
          <w:sz w:val="24"/>
          <w:szCs w:val="24"/>
          <w:lang w:eastAsia="en-GB"/>
        </w:rPr>
        <w:t xml:space="preserve">  The OW report demonstrates declines in the </w:t>
      </w:r>
      <w:r w:rsidR="00170DB2">
        <w:rPr>
          <w:rFonts w:eastAsia="Times New Roman" w:cs="Helvetica"/>
          <w:color w:val="000000"/>
          <w:sz w:val="24"/>
          <w:szCs w:val="24"/>
          <w:lang w:eastAsia="en-GB"/>
        </w:rPr>
        <w:t>all-important</w:t>
      </w:r>
      <w:r w:rsidR="009914AD">
        <w:rPr>
          <w:rFonts w:eastAsia="Times New Roman" w:cs="Helvetica"/>
          <w:color w:val="000000"/>
          <w:sz w:val="24"/>
          <w:szCs w:val="24"/>
          <w:lang w:eastAsia="en-GB"/>
        </w:rPr>
        <w:t xml:space="preserve"> measure of turnover ratio (figure E, pg</w:t>
      </w:r>
      <w:r w:rsidR="00231275">
        <w:rPr>
          <w:rFonts w:eastAsia="Times New Roman" w:cs="Helvetica"/>
          <w:color w:val="000000"/>
          <w:sz w:val="24"/>
          <w:szCs w:val="24"/>
          <w:lang w:eastAsia="en-GB"/>
        </w:rPr>
        <w:t>.</w:t>
      </w:r>
      <w:r w:rsidR="009914AD">
        <w:rPr>
          <w:rFonts w:eastAsia="Times New Roman" w:cs="Helvetica"/>
          <w:color w:val="000000"/>
          <w:sz w:val="24"/>
          <w:szCs w:val="24"/>
          <w:lang w:eastAsia="en-GB"/>
        </w:rPr>
        <w:t xml:space="preserve"> xii</w:t>
      </w:r>
      <w:r w:rsidR="00231275">
        <w:rPr>
          <w:rFonts w:eastAsia="Times New Roman" w:cs="Helvetica"/>
          <w:color w:val="000000"/>
          <w:sz w:val="24"/>
          <w:szCs w:val="24"/>
          <w:lang w:eastAsia="en-GB"/>
        </w:rPr>
        <w:t xml:space="preserve"> and figure 5.12, pg. 64</w:t>
      </w:r>
      <w:r w:rsidR="009914AD">
        <w:rPr>
          <w:rFonts w:eastAsia="Times New Roman" w:cs="Helvetica"/>
          <w:color w:val="000000"/>
          <w:sz w:val="24"/>
          <w:szCs w:val="24"/>
          <w:lang w:eastAsia="en-GB"/>
        </w:rPr>
        <w:t>).</w:t>
      </w:r>
      <w:r w:rsidR="00362937">
        <w:rPr>
          <w:rFonts w:eastAsia="Times New Roman" w:cs="Helvetica"/>
          <w:color w:val="000000"/>
          <w:sz w:val="24"/>
          <w:szCs w:val="24"/>
          <w:lang w:eastAsia="en-GB"/>
        </w:rPr>
        <w:t xml:space="preserve">  ICMA show</w:t>
      </w:r>
      <w:r w:rsidR="00170DB2">
        <w:rPr>
          <w:rFonts w:eastAsia="Times New Roman" w:cs="Helvetica"/>
          <w:color w:val="000000"/>
          <w:sz w:val="24"/>
          <w:szCs w:val="24"/>
          <w:lang w:eastAsia="en-GB"/>
        </w:rPr>
        <w:t>s euro and sterling corporate bond vo</w:t>
      </w:r>
      <w:r w:rsidR="00362937">
        <w:rPr>
          <w:rFonts w:eastAsia="Times New Roman" w:cs="Helvetica"/>
          <w:color w:val="000000"/>
          <w:sz w:val="24"/>
          <w:szCs w:val="24"/>
          <w:lang w:eastAsia="en-GB"/>
        </w:rPr>
        <w:t>lumes (figure 3, pg. 12) lagging</w:t>
      </w:r>
      <w:r w:rsidR="00170DB2">
        <w:rPr>
          <w:rFonts w:eastAsia="Times New Roman" w:cs="Helvetica"/>
          <w:color w:val="000000"/>
          <w:sz w:val="24"/>
          <w:szCs w:val="24"/>
          <w:lang w:eastAsia="en-GB"/>
        </w:rPr>
        <w:t xml:space="preserve"> outstandings </w:t>
      </w:r>
      <w:r w:rsidR="00ED59BF">
        <w:rPr>
          <w:rFonts w:eastAsia="Times New Roman" w:cs="Helvetica"/>
          <w:color w:val="000000"/>
          <w:sz w:val="24"/>
          <w:szCs w:val="24"/>
          <w:lang w:eastAsia="en-GB"/>
        </w:rPr>
        <w:t xml:space="preserve">growth </w:t>
      </w:r>
      <w:r w:rsidR="00170DB2">
        <w:rPr>
          <w:rFonts w:eastAsia="Times New Roman" w:cs="Helvetica"/>
          <w:color w:val="000000"/>
          <w:sz w:val="24"/>
          <w:szCs w:val="24"/>
          <w:lang w:eastAsia="en-GB"/>
        </w:rPr>
        <w:t>(figure 4, pg. 13).</w:t>
      </w:r>
    </w:p>
    <w:p w:rsidR="00D873A3" w:rsidRDefault="00D873A3" w:rsidP="006B41A4">
      <w:pPr>
        <w:spacing w:after="0" w:line="240" w:lineRule="auto"/>
        <w:rPr>
          <w:rFonts w:eastAsia="Times New Roman" w:cs="Helvetica"/>
          <w:b/>
          <w:color w:val="000000"/>
          <w:sz w:val="24"/>
          <w:szCs w:val="24"/>
          <w:lang w:eastAsia="en-GB"/>
        </w:rPr>
      </w:pPr>
    </w:p>
    <w:p w:rsidR="003246F1" w:rsidRDefault="00E9715D" w:rsidP="006B41A4">
      <w:pPr>
        <w:spacing w:after="0" w:line="240" w:lineRule="auto"/>
        <w:rPr>
          <w:rFonts w:eastAsia="Times New Roman" w:cs="Helvetica"/>
          <w:b/>
          <w:color w:val="000000"/>
          <w:sz w:val="24"/>
          <w:szCs w:val="24"/>
          <w:lang w:eastAsia="en-GB"/>
        </w:rPr>
      </w:pPr>
      <w:r>
        <w:rPr>
          <w:rFonts w:eastAsia="Times New Roman" w:cs="Helvetica"/>
          <w:b/>
          <w:color w:val="000000"/>
          <w:sz w:val="24"/>
          <w:szCs w:val="24"/>
          <w:lang w:eastAsia="en-GB"/>
        </w:rPr>
        <w:t>Bid/Ask</w:t>
      </w:r>
      <w:r w:rsidR="00362937">
        <w:rPr>
          <w:rFonts w:eastAsia="Times New Roman" w:cs="Helvetica"/>
          <w:b/>
          <w:color w:val="000000"/>
          <w:sz w:val="24"/>
          <w:szCs w:val="24"/>
          <w:lang w:eastAsia="en-GB"/>
        </w:rPr>
        <w:t xml:space="preserve"> Spread</w:t>
      </w:r>
    </w:p>
    <w:p w:rsidR="008C5B4B" w:rsidRPr="003246F1" w:rsidRDefault="008C5B4B" w:rsidP="006B41A4">
      <w:pPr>
        <w:spacing w:after="0" w:line="240" w:lineRule="auto"/>
        <w:rPr>
          <w:rFonts w:eastAsia="Times New Roman" w:cs="Helvetica"/>
          <w:b/>
          <w:color w:val="000000"/>
          <w:sz w:val="24"/>
          <w:szCs w:val="24"/>
          <w:lang w:eastAsia="en-GB"/>
        </w:rPr>
      </w:pPr>
      <w:r>
        <w:rPr>
          <w:rFonts w:eastAsia="Times New Roman" w:cs="Helvetica"/>
          <w:color w:val="000000"/>
          <w:sz w:val="24"/>
          <w:szCs w:val="24"/>
          <w:lang w:eastAsia="en-GB"/>
        </w:rPr>
        <w:t xml:space="preserve">Central Bank rates and 10-year government bond yields in the U.S. and Europe/Germany have all </w:t>
      </w:r>
      <w:r w:rsidR="00ED59BF">
        <w:rPr>
          <w:rFonts w:eastAsia="Times New Roman" w:cs="Helvetica"/>
          <w:color w:val="000000"/>
          <w:sz w:val="24"/>
          <w:szCs w:val="24"/>
          <w:lang w:eastAsia="en-GB"/>
        </w:rPr>
        <w:t xml:space="preserve">fallen by </w:t>
      </w:r>
      <w:r w:rsidR="0027542B">
        <w:rPr>
          <w:rFonts w:eastAsia="Times New Roman" w:cs="Helvetica"/>
          <w:color w:val="000000"/>
          <w:sz w:val="24"/>
          <w:szCs w:val="24"/>
          <w:lang w:eastAsia="en-GB"/>
        </w:rPr>
        <w:t>around</w:t>
      </w:r>
      <w:r>
        <w:rPr>
          <w:rFonts w:eastAsia="Times New Roman" w:cs="Helvetica"/>
          <w:color w:val="000000"/>
          <w:sz w:val="24"/>
          <w:szCs w:val="24"/>
          <w:lang w:eastAsia="en-GB"/>
        </w:rPr>
        <w:t xml:space="preserve"> 400 basis points since the crisis.  T</w:t>
      </w:r>
      <w:r w:rsidR="00362937">
        <w:rPr>
          <w:rFonts w:eastAsia="Times New Roman" w:cs="Helvetica"/>
          <w:color w:val="000000"/>
          <w:sz w:val="24"/>
          <w:szCs w:val="24"/>
          <w:lang w:eastAsia="en-GB"/>
        </w:rPr>
        <w:t>his forc</w:t>
      </w:r>
      <w:r w:rsidR="00910ECB">
        <w:rPr>
          <w:rFonts w:eastAsia="Times New Roman" w:cs="Helvetica"/>
          <w:color w:val="000000"/>
          <w:sz w:val="24"/>
          <w:szCs w:val="24"/>
          <w:lang w:eastAsia="en-GB"/>
        </w:rPr>
        <w:t xml:space="preserve">es </w:t>
      </w:r>
      <w:r w:rsidR="00362937">
        <w:rPr>
          <w:rFonts w:eastAsia="Times New Roman" w:cs="Helvetica"/>
          <w:color w:val="000000"/>
          <w:sz w:val="24"/>
          <w:szCs w:val="24"/>
          <w:lang w:eastAsia="en-GB"/>
        </w:rPr>
        <w:t xml:space="preserve">compression of </w:t>
      </w:r>
      <w:r w:rsidR="00910ECB">
        <w:rPr>
          <w:rFonts w:eastAsia="Times New Roman" w:cs="Helvetica"/>
          <w:color w:val="000000"/>
          <w:sz w:val="24"/>
          <w:szCs w:val="24"/>
          <w:lang w:eastAsia="en-GB"/>
        </w:rPr>
        <w:t>bi</w:t>
      </w:r>
      <w:r w:rsidR="00362937">
        <w:rPr>
          <w:rFonts w:eastAsia="Times New Roman" w:cs="Helvetica"/>
          <w:color w:val="000000"/>
          <w:sz w:val="24"/>
          <w:szCs w:val="24"/>
          <w:lang w:eastAsia="en-GB"/>
        </w:rPr>
        <w:t>d/ask spread</w:t>
      </w:r>
      <w:r w:rsidR="00910ECB">
        <w:rPr>
          <w:rFonts w:eastAsia="Times New Roman" w:cs="Helvetica"/>
          <w:color w:val="000000"/>
          <w:sz w:val="24"/>
          <w:szCs w:val="24"/>
          <w:lang w:eastAsia="en-GB"/>
        </w:rPr>
        <w:t>.</w:t>
      </w:r>
    </w:p>
    <w:p w:rsidR="00910ECB" w:rsidRDefault="00910ECB" w:rsidP="006B41A4">
      <w:pPr>
        <w:spacing w:after="0" w:line="240" w:lineRule="auto"/>
        <w:rPr>
          <w:rFonts w:eastAsia="Times New Roman" w:cs="Helvetica"/>
          <w:color w:val="000000"/>
          <w:sz w:val="24"/>
          <w:szCs w:val="24"/>
          <w:lang w:eastAsia="en-GB"/>
        </w:rPr>
      </w:pPr>
    </w:p>
    <w:p w:rsidR="00910ECB" w:rsidRDefault="00362937" w:rsidP="006B41A4">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IOSCO mentions</w:t>
      </w:r>
      <w:r w:rsidR="00910ECB">
        <w:rPr>
          <w:rFonts w:eastAsia="Times New Roman" w:cs="Helvetica"/>
          <w:color w:val="000000"/>
          <w:sz w:val="24"/>
          <w:szCs w:val="24"/>
          <w:lang w:eastAsia="en-GB"/>
        </w:rPr>
        <w:t xml:space="preserve"> the shift of dealers from an agency to principal model.  Such a shift compresses spreads</w:t>
      </w:r>
      <w:r w:rsidR="0027542B">
        <w:rPr>
          <w:rFonts w:eastAsia="Times New Roman" w:cs="Helvetica"/>
          <w:color w:val="000000"/>
          <w:sz w:val="24"/>
          <w:szCs w:val="24"/>
          <w:lang w:eastAsia="en-GB"/>
        </w:rPr>
        <w:t xml:space="preserve"> further</w:t>
      </w:r>
      <w:r>
        <w:rPr>
          <w:rFonts w:eastAsia="Times New Roman" w:cs="Helvetica"/>
          <w:color w:val="000000"/>
          <w:sz w:val="24"/>
          <w:szCs w:val="24"/>
          <w:lang w:eastAsia="en-GB"/>
        </w:rPr>
        <w:t xml:space="preserve"> as dealers do not earn a premium for taking risk and committing balance sheet</w:t>
      </w:r>
      <w:r w:rsidR="007502B1">
        <w:rPr>
          <w:rFonts w:eastAsia="Times New Roman" w:cs="Helvetica"/>
          <w:color w:val="000000"/>
          <w:sz w:val="24"/>
          <w:szCs w:val="24"/>
          <w:lang w:eastAsia="en-GB"/>
        </w:rPr>
        <w:t>.  T</w:t>
      </w:r>
      <w:r>
        <w:rPr>
          <w:rFonts w:eastAsia="Times New Roman" w:cs="Helvetica"/>
          <w:color w:val="000000"/>
          <w:sz w:val="24"/>
          <w:szCs w:val="24"/>
          <w:lang w:eastAsia="en-GB"/>
        </w:rPr>
        <w:t xml:space="preserve">his </w:t>
      </w:r>
      <w:r w:rsidR="007502B1">
        <w:rPr>
          <w:rFonts w:eastAsia="Times New Roman" w:cs="Helvetica"/>
          <w:color w:val="000000"/>
          <w:sz w:val="24"/>
          <w:szCs w:val="24"/>
          <w:lang w:eastAsia="en-GB"/>
        </w:rPr>
        <w:t>new market dynamic means</w:t>
      </w:r>
      <w:r>
        <w:rPr>
          <w:rFonts w:eastAsia="Times New Roman" w:cs="Helvetica"/>
          <w:color w:val="000000"/>
          <w:sz w:val="24"/>
          <w:szCs w:val="24"/>
          <w:lang w:eastAsia="en-GB"/>
        </w:rPr>
        <w:t xml:space="preserve"> </w:t>
      </w:r>
      <w:r w:rsidR="00ED59BF">
        <w:rPr>
          <w:rFonts w:eastAsia="Times New Roman" w:cs="Helvetica"/>
          <w:color w:val="000000"/>
          <w:sz w:val="24"/>
          <w:szCs w:val="24"/>
          <w:lang w:eastAsia="en-GB"/>
        </w:rPr>
        <w:t xml:space="preserve">a </w:t>
      </w:r>
      <w:r w:rsidR="00910ECB">
        <w:rPr>
          <w:rFonts w:eastAsia="Times New Roman" w:cs="Helvetica"/>
          <w:color w:val="000000"/>
          <w:sz w:val="24"/>
          <w:szCs w:val="24"/>
          <w:lang w:eastAsia="en-GB"/>
        </w:rPr>
        <w:t xml:space="preserve">decrease </w:t>
      </w:r>
      <w:r w:rsidR="00ED59BF">
        <w:rPr>
          <w:rFonts w:eastAsia="Times New Roman" w:cs="Helvetica"/>
          <w:color w:val="000000"/>
          <w:sz w:val="24"/>
          <w:szCs w:val="24"/>
          <w:lang w:eastAsia="en-GB"/>
        </w:rPr>
        <w:t xml:space="preserve">in </w:t>
      </w:r>
      <w:r w:rsidR="00910ECB">
        <w:rPr>
          <w:rFonts w:eastAsia="Times New Roman" w:cs="Helvetica"/>
          <w:color w:val="000000"/>
          <w:sz w:val="24"/>
          <w:szCs w:val="24"/>
          <w:lang w:eastAsia="en-GB"/>
        </w:rPr>
        <w:t>liquidity, as dealers do not stand ready to buy and hold bonds to support investors who need to sell.</w:t>
      </w:r>
    </w:p>
    <w:p w:rsidR="00910ECB" w:rsidRDefault="00910ECB" w:rsidP="006B41A4">
      <w:pPr>
        <w:spacing w:after="0" w:line="240" w:lineRule="auto"/>
        <w:rPr>
          <w:rFonts w:eastAsia="Times New Roman" w:cs="Helvetica"/>
          <w:color w:val="000000"/>
          <w:sz w:val="24"/>
          <w:szCs w:val="24"/>
          <w:lang w:eastAsia="en-GB"/>
        </w:rPr>
      </w:pPr>
    </w:p>
    <w:p w:rsidR="00D873A3" w:rsidRDefault="00FC37CE" w:rsidP="006B41A4">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B</w:t>
      </w:r>
      <w:r w:rsidR="00362937">
        <w:rPr>
          <w:rFonts w:eastAsia="Times New Roman" w:cs="Helvetica"/>
          <w:color w:val="000000"/>
          <w:sz w:val="24"/>
          <w:szCs w:val="24"/>
          <w:lang w:eastAsia="en-GB"/>
        </w:rPr>
        <w:t>id/ask spreads</w:t>
      </w:r>
      <w:r>
        <w:rPr>
          <w:rFonts w:eastAsia="Times New Roman" w:cs="Helvetica"/>
          <w:color w:val="000000"/>
          <w:sz w:val="24"/>
          <w:szCs w:val="24"/>
          <w:lang w:eastAsia="en-GB"/>
        </w:rPr>
        <w:t xml:space="preserve"> </w:t>
      </w:r>
      <w:r w:rsidR="00ED59BF">
        <w:rPr>
          <w:rFonts w:eastAsia="Times New Roman" w:cs="Helvetica"/>
          <w:color w:val="000000"/>
          <w:sz w:val="24"/>
          <w:szCs w:val="24"/>
          <w:lang w:eastAsia="en-GB"/>
        </w:rPr>
        <w:t xml:space="preserve">quoted on trading venues are often </w:t>
      </w:r>
      <w:r>
        <w:rPr>
          <w:rFonts w:eastAsia="Times New Roman" w:cs="Helvetica"/>
          <w:color w:val="000000"/>
          <w:sz w:val="24"/>
          <w:szCs w:val="24"/>
          <w:lang w:eastAsia="en-GB"/>
        </w:rPr>
        <w:t xml:space="preserve">only indicative, or for small sizes. </w:t>
      </w:r>
      <w:r w:rsidR="002D6C9F">
        <w:rPr>
          <w:rFonts w:eastAsia="Times New Roman" w:cs="Helvetica"/>
          <w:color w:val="000000"/>
          <w:sz w:val="24"/>
          <w:szCs w:val="24"/>
          <w:lang w:eastAsia="en-GB"/>
        </w:rPr>
        <w:t>This is particularly true given the decline in average trade size.</w:t>
      </w:r>
      <w:r>
        <w:rPr>
          <w:rFonts w:eastAsia="Times New Roman" w:cs="Helvetica"/>
          <w:color w:val="000000"/>
          <w:sz w:val="24"/>
          <w:szCs w:val="24"/>
          <w:lang w:eastAsia="en-GB"/>
        </w:rPr>
        <w:t xml:space="preserve"> </w:t>
      </w:r>
    </w:p>
    <w:p w:rsidR="00FC37CE" w:rsidRDefault="00FC37CE" w:rsidP="006B41A4">
      <w:pPr>
        <w:spacing w:after="0" w:line="240" w:lineRule="auto"/>
        <w:rPr>
          <w:rFonts w:eastAsia="Times New Roman" w:cs="Helvetica"/>
          <w:b/>
          <w:color w:val="000000"/>
          <w:sz w:val="24"/>
          <w:szCs w:val="24"/>
          <w:lang w:eastAsia="en-GB"/>
        </w:rPr>
      </w:pPr>
    </w:p>
    <w:p w:rsidR="00E9715D" w:rsidRPr="00E9715D" w:rsidRDefault="00E9715D" w:rsidP="006B41A4">
      <w:pPr>
        <w:spacing w:after="0" w:line="240" w:lineRule="auto"/>
        <w:rPr>
          <w:rFonts w:eastAsia="Times New Roman" w:cs="Helvetica"/>
          <w:b/>
          <w:color w:val="000000"/>
          <w:sz w:val="24"/>
          <w:szCs w:val="24"/>
          <w:lang w:eastAsia="en-GB"/>
        </w:rPr>
      </w:pPr>
      <w:r>
        <w:rPr>
          <w:rFonts w:eastAsia="Times New Roman" w:cs="Helvetica"/>
          <w:b/>
          <w:color w:val="000000"/>
          <w:sz w:val="24"/>
          <w:szCs w:val="24"/>
          <w:lang w:eastAsia="en-GB"/>
        </w:rPr>
        <w:t>Price Impact of Trades</w:t>
      </w:r>
    </w:p>
    <w:p w:rsidR="006E38D9" w:rsidRDefault="006E38D9" w:rsidP="006E38D9">
      <w:pPr>
        <w:spacing w:after="0" w:line="240" w:lineRule="auto"/>
        <w:rPr>
          <w:rFonts w:eastAsia="Times New Roman" w:cs="Helvetica"/>
          <w:color w:val="000000"/>
          <w:sz w:val="24"/>
          <w:szCs w:val="24"/>
          <w:lang w:eastAsia="en-GB"/>
        </w:rPr>
      </w:pPr>
    </w:p>
    <w:p w:rsidR="002D6C9F" w:rsidRDefault="006E38D9" w:rsidP="002D6C9F">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Mu</w:t>
      </w:r>
      <w:r w:rsidR="00FC37CE">
        <w:rPr>
          <w:rFonts w:eastAsia="Times New Roman" w:cs="Helvetica"/>
          <w:color w:val="000000"/>
          <w:sz w:val="24"/>
          <w:szCs w:val="24"/>
          <w:lang w:eastAsia="en-GB"/>
        </w:rPr>
        <w:t>ch of the</w:t>
      </w:r>
      <w:r>
        <w:rPr>
          <w:rFonts w:eastAsia="Times New Roman" w:cs="Helvetica"/>
          <w:color w:val="000000"/>
          <w:sz w:val="24"/>
          <w:szCs w:val="24"/>
          <w:lang w:eastAsia="en-GB"/>
        </w:rPr>
        <w:t xml:space="preserve"> research </w:t>
      </w:r>
      <w:r w:rsidR="00FC37CE">
        <w:rPr>
          <w:rFonts w:eastAsia="Times New Roman" w:cs="Helvetica"/>
          <w:color w:val="000000"/>
          <w:sz w:val="24"/>
          <w:szCs w:val="24"/>
          <w:lang w:eastAsia="en-GB"/>
        </w:rPr>
        <w:t>cited by</w:t>
      </w:r>
      <w:r>
        <w:rPr>
          <w:rFonts w:eastAsia="Times New Roman" w:cs="Helvetica"/>
          <w:color w:val="000000"/>
          <w:sz w:val="24"/>
          <w:szCs w:val="24"/>
          <w:lang w:eastAsia="en-GB"/>
        </w:rPr>
        <w:t xml:space="preserve"> IOSCO supporting a decline in </w:t>
      </w:r>
      <w:r w:rsidR="00FC37CE">
        <w:rPr>
          <w:rFonts w:eastAsia="Times New Roman" w:cs="Helvetica"/>
          <w:color w:val="000000"/>
          <w:sz w:val="24"/>
          <w:szCs w:val="24"/>
          <w:lang w:eastAsia="en-GB"/>
        </w:rPr>
        <w:t>the price impact o</w:t>
      </w:r>
      <w:r w:rsidR="007502B1">
        <w:rPr>
          <w:rFonts w:eastAsia="Times New Roman" w:cs="Helvetica"/>
          <w:color w:val="000000"/>
          <w:sz w:val="24"/>
          <w:szCs w:val="24"/>
          <w:lang w:eastAsia="en-GB"/>
        </w:rPr>
        <w:t xml:space="preserve">f trades is largely </w:t>
      </w:r>
      <w:r w:rsidR="00FC37CE">
        <w:rPr>
          <w:rFonts w:eastAsia="Times New Roman" w:cs="Helvetica"/>
          <w:color w:val="000000"/>
          <w:sz w:val="24"/>
          <w:szCs w:val="24"/>
          <w:lang w:eastAsia="en-GB"/>
        </w:rPr>
        <w:t xml:space="preserve">theoretical.  </w:t>
      </w:r>
      <w:r w:rsidR="002D6C9F">
        <w:rPr>
          <w:rFonts w:eastAsia="Times New Roman" w:cs="Helvetica"/>
          <w:color w:val="000000"/>
          <w:sz w:val="24"/>
          <w:szCs w:val="24"/>
          <w:lang w:eastAsia="en-GB"/>
        </w:rPr>
        <w:t>T</w:t>
      </w:r>
      <w:r>
        <w:rPr>
          <w:rFonts w:eastAsia="Times New Roman" w:cs="Helvetica"/>
          <w:color w:val="000000"/>
          <w:sz w:val="24"/>
          <w:szCs w:val="24"/>
          <w:lang w:eastAsia="en-GB"/>
        </w:rPr>
        <w:t xml:space="preserve">he ICMA report, figure 5 (page 13) demonstrates a trend for bid/ask spreads on actual trades (which are what really count) </w:t>
      </w:r>
      <w:r w:rsidR="00362937">
        <w:rPr>
          <w:rFonts w:eastAsia="Times New Roman" w:cs="Helvetica"/>
          <w:color w:val="000000"/>
          <w:sz w:val="24"/>
          <w:szCs w:val="24"/>
          <w:lang w:eastAsia="en-GB"/>
        </w:rPr>
        <w:t>to be significantly wider than those for indicative trad</w:t>
      </w:r>
      <w:r>
        <w:rPr>
          <w:rFonts w:eastAsia="Times New Roman" w:cs="Helvetica"/>
          <w:color w:val="000000"/>
          <w:sz w:val="24"/>
          <w:szCs w:val="24"/>
          <w:lang w:eastAsia="en-GB"/>
        </w:rPr>
        <w:t>es.</w:t>
      </w:r>
      <w:r w:rsidR="002D6C9F">
        <w:rPr>
          <w:rFonts w:eastAsia="Times New Roman" w:cs="Helvetica"/>
          <w:color w:val="000000"/>
          <w:sz w:val="24"/>
          <w:szCs w:val="24"/>
          <w:lang w:eastAsia="en-GB"/>
        </w:rPr>
        <w:t xml:space="preserve">  Also, it is important to take into account the fact that price changes are not only due to changes in a bond’s market liquidity but also to other factors such as changes in the credit risk. The abundance of funding liquidity resulting from loose monetary policies has certainly contributed to limit the price impact in recent years.</w:t>
      </w:r>
    </w:p>
    <w:p w:rsidR="006E38D9" w:rsidRDefault="006E38D9" w:rsidP="006E38D9">
      <w:pPr>
        <w:spacing w:after="0" w:line="240" w:lineRule="auto"/>
        <w:rPr>
          <w:rFonts w:eastAsia="Times New Roman" w:cs="Helvetica"/>
          <w:color w:val="000000"/>
          <w:sz w:val="24"/>
          <w:szCs w:val="24"/>
          <w:lang w:eastAsia="en-GB"/>
        </w:rPr>
      </w:pPr>
    </w:p>
    <w:p w:rsidR="00231275" w:rsidRDefault="00231275" w:rsidP="006E38D9">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 xml:space="preserve">The OW report cites a 2015 IMF study of European sovereign bond trades (figure 5.13, pg. 66) and </w:t>
      </w:r>
      <w:r w:rsidR="00362937">
        <w:rPr>
          <w:rFonts w:eastAsia="Times New Roman" w:cs="Helvetica"/>
          <w:color w:val="000000"/>
          <w:sz w:val="24"/>
          <w:szCs w:val="24"/>
          <w:lang w:eastAsia="en-GB"/>
        </w:rPr>
        <w:t xml:space="preserve">a </w:t>
      </w:r>
      <w:r>
        <w:rPr>
          <w:rFonts w:eastAsia="Times New Roman" w:cs="Helvetica"/>
          <w:color w:val="000000"/>
          <w:sz w:val="24"/>
          <w:szCs w:val="24"/>
          <w:lang w:eastAsia="en-GB"/>
        </w:rPr>
        <w:t xml:space="preserve">2016 CGFS study of U.S. treasuries </w:t>
      </w:r>
      <w:r w:rsidR="00DB018B">
        <w:rPr>
          <w:rFonts w:eastAsia="Times New Roman" w:cs="Helvetica"/>
          <w:color w:val="000000"/>
          <w:sz w:val="24"/>
          <w:szCs w:val="24"/>
          <w:lang w:eastAsia="en-GB"/>
        </w:rPr>
        <w:t xml:space="preserve">(figure 5.14, pg. 67) </w:t>
      </w:r>
      <w:r w:rsidR="00362937">
        <w:rPr>
          <w:rFonts w:eastAsia="Times New Roman" w:cs="Helvetica"/>
          <w:color w:val="000000"/>
          <w:sz w:val="24"/>
          <w:szCs w:val="24"/>
          <w:lang w:eastAsia="en-GB"/>
        </w:rPr>
        <w:t>which demonstrate</w:t>
      </w:r>
      <w:r>
        <w:rPr>
          <w:rFonts w:eastAsia="Times New Roman" w:cs="Helvetica"/>
          <w:color w:val="000000"/>
          <w:sz w:val="24"/>
          <w:szCs w:val="24"/>
          <w:lang w:eastAsia="en-GB"/>
        </w:rPr>
        <w:t xml:space="preserve"> that the price impact of trades has increased.</w:t>
      </w:r>
    </w:p>
    <w:p w:rsidR="00EB20B1" w:rsidRDefault="00EB20B1" w:rsidP="006B41A4">
      <w:pPr>
        <w:spacing w:after="0" w:line="240" w:lineRule="auto"/>
        <w:rPr>
          <w:rFonts w:eastAsia="Times New Roman" w:cs="Helvetica"/>
          <w:color w:val="000000"/>
          <w:sz w:val="24"/>
          <w:szCs w:val="24"/>
          <w:lang w:eastAsia="en-GB"/>
        </w:rPr>
      </w:pPr>
    </w:p>
    <w:p w:rsidR="00DB018B" w:rsidRDefault="00DB018B" w:rsidP="00BD2A59">
      <w:pPr>
        <w:spacing w:after="0" w:line="240" w:lineRule="auto"/>
        <w:rPr>
          <w:rFonts w:eastAsia="Times New Roman" w:cs="Helvetica"/>
          <w:b/>
          <w:color w:val="000000"/>
          <w:sz w:val="28"/>
          <w:szCs w:val="28"/>
          <w:u w:val="single"/>
          <w:lang w:eastAsia="en-GB"/>
        </w:rPr>
      </w:pPr>
    </w:p>
    <w:p w:rsidR="00BD2A59" w:rsidRDefault="00BD2A59" w:rsidP="00BD2A59">
      <w:pPr>
        <w:spacing w:after="0" w:line="240" w:lineRule="auto"/>
        <w:rPr>
          <w:rFonts w:eastAsia="Times New Roman" w:cs="Helvetica"/>
          <w:b/>
          <w:color w:val="000000"/>
          <w:sz w:val="28"/>
          <w:szCs w:val="28"/>
          <w:u w:val="single"/>
          <w:lang w:eastAsia="en-GB"/>
        </w:rPr>
      </w:pPr>
      <w:r>
        <w:rPr>
          <w:rFonts w:eastAsia="Times New Roman" w:cs="Helvetica"/>
          <w:b/>
          <w:color w:val="000000"/>
          <w:sz w:val="28"/>
          <w:szCs w:val="28"/>
          <w:u w:val="single"/>
          <w:lang w:eastAsia="en-GB"/>
        </w:rPr>
        <w:t>FURTHER METRICS</w:t>
      </w:r>
    </w:p>
    <w:p w:rsidR="00BD2A59" w:rsidRDefault="00BD2A59" w:rsidP="00BD2A59">
      <w:pPr>
        <w:spacing w:after="0" w:line="240" w:lineRule="auto"/>
        <w:rPr>
          <w:rFonts w:eastAsia="Times New Roman" w:cs="Helvetica"/>
          <w:color w:val="000000"/>
          <w:sz w:val="24"/>
          <w:szCs w:val="24"/>
          <w:lang w:eastAsia="en-GB"/>
        </w:rPr>
      </w:pPr>
    </w:p>
    <w:p w:rsidR="00BD2A59" w:rsidRDefault="00BD2A59" w:rsidP="00BD2A59">
      <w:pPr>
        <w:spacing w:after="0" w:line="240" w:lineRule="auto"/>
        <w:rPr>
          <w:rFonts w:eastAsia="Times New Roman" w:cs="Helvetica"/>
          <w:b/>
          <w:color w:val="000000"/>
          <w:sz w:val="24"/>
          <w:szCs w:val="24"/>
          <w:lang w:eastAsia="en-GB"/>
        </w:rPr>
      </w:pPr>
      <w:r>
        <w:rPr>
          <w:rFonts w:eastAsia="Times New Roman" w:cs="Helvetica"/>
          <w:b/>
          <w:color w:val="000000"/>
          <w:sz w:val="24"/>
          <w:szCs w:val="24"/>
          <w:lang w:eastAsia="en-GB"/>
        </w:rPr>
        <w:t>Credit Default Swaps</w:t>
      </w:r>
    </w:p>
    <w:p w:rsidR="00BD2A59" w:rsidRDefault="00BD2A59" w:rsidP="00BD2A59">
      <w:pPr>
        <w:spacing w:after="0" w:line="240" w:lineRule="auto"/>
        <w:rPr>
          <w:rFonts w:eastAsia="Times New Roman" w:cs="Helvetica"/>
          <w:b/>
          <w:color w:val="000000"/>
          <w:sz w:val="24"/>
          <w:szCs w:val="24"/>
          <w:lang w:eastAsia="en-GB"/>
        </w:rPr>
      </w:pPr>
    </w:p>
    <w:p w:rsidR="00BD2A59" w:rsidRDefault="007502B1" w:rsidP="00BD2A59">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CDS markets are impor</w:t>
      </w:r>
      <w:r w:rsidR="00C3090A">
        <w:rPr>
          <w:rFonts w:eastAsia="Times New Roman" w:cs="Helvetica"/>
          <w:color w:val="000000"/>
          <w:sz w:val="24"/>
          <w:szCs w:val="24"/>
          <w:lang w:eastAsia="en-GB"/>
        </w:rPr>
        <w:t>t</w:t>
      </w:r>
      <w:r>
        <w:rPr>
          <w:rFonts w:eastAsia="Times New Roman" w:cs="Helvetica"/>
          <w:color w:val="000000"/>
          <w:sz w:val="24"/>
          <w:szCs w:val="24"/>
          <w:lang w:eastAsia="en-GB"/>
        </w:rPr>
        <w:t xml:space="preserve">ant to the </w:t>
      </w:r>
      <w:r w:rsidR="00BD2A59">
        <w:rPr>
          <w:rFonts w:eastAsia="Times New Roman" w:cs="Helvetica"/>
          <w:color w:val="000000"/>
          <w:sz w:val="24"/>
          <w:szCs w:val="24"/>
          <w:lang w:eastAsia="en-GB"/>
        </w:rPr>
        <w:t xml:space="preserve">analysis of corporate bond market liquidity.  CDS are key to hedging, promoting position taking and offering an alternative to dumping positions in stressed markets.  The </w:t>
      </w:r>
      <w:r w:rsidR="009914AD">
        <w:rPr>
          <w:rFonts w:eastAsia="Times New Roman" w:cs="Helvetica"/>
          <w:color w:val="000000"/>
          <w:sz w:val="24"/>
          <w:szCs w:val="24"/>
          <w:lang w:eastAsia="en-GB"/>
        </w:rPr>
        <w:t>decline in single name CDS liquidity is an area of concern for bond markets.</w:t>
      </w:r>
    </w:p>
    <w:p w:rsidR="00170DB2" w:rsidRDefault="00170DB2" w:rsidP="00BD2A59">
      <w:pPr>
        <w:spacing w:after="0" w:line="240" w:lineRule="auto"/>
        <w:rPr>
          <w:rFonts w:eastAsia="Times New Roman" w:cs="Helvetica"/>
          <w:color w:val="000000"/>
          <w:sz w:val="24"/>
          <w:szCs w:val="24"/>
          <w:lang w:eastAsia="en-GB"/>
        </w:rPr>
      </w:pPr>
    </w:p>
    <w:p w:rsidR="00BD2A59" w:rsidRDefault="00BD2A59" w:rsidP="00BD2A59">
      <w:pPr>
        <w:spacing w:after="0" w:line="240" w:lineRule="auto"/>
        <w:rPr>
          <w:rFonts w:eastAsia="Times New Roman" w:cs="Helvetica"/>
          <w:color w:val="000000"/>
          <w:sz w:val="24"/>
          <w:szCs w:val="24"/>
          <w:lang w:eastAsia="en-GB"/>
        </w:rPr>
      </w:pPr>
    </w:p>
    <w:p w:rsidR="00BD2A59" w:rsidRDefault="00BD2A59" w:rsidP="00BD2A59">
      <w:pPr>
        <w:spacing w:after="0" w:line="240" w:lineRule="auto"/>
        <w:rPr>
          <w:rFonts w:eastAsia="Times New Roman" w:cs="Helvetica"/>
          <w:b/>
          <w:color w:val="000000"/>
          <w:sz w:val="24"/>
          <w:szCs w:val="24"/>
          <w:lang w:eastAsia="en-GB"/>
        </w:rPr>
      </w:pPr>
      <w:r>
        <w:rPr>
          <w:rFonts w:eastAsia="Times New Roman" w:cs="Helvetica"/>
          <w:b/>
          <w:color w:val="000000"/>
          <w:sz w:val="24"/>
          <w:szCs w:val="24"/>
          <w:lang w:eastAsia="en-GB"/>
        </w:rPr>
        <w:t>Repo</w:t>
      </w:r>
    </w:p>
    <w:p w:rsidR="00BD2A59" w:rsidRDefault="00BD2A59" w:rsidP="00BD2A59">
      <w:pPr>
        <w:spacing w:after="0" w:line="240" w:lineRule="auto"/>
        <w:rPr>
          <w:rFonts w:eastAsia="Times New Roman" w:cs="Helvetica"/>
          <w:b/>
          <w:color w:val="000000"/>
          <w:sz w:val="24"/>
          <w:szCs w:val="24"/>
          <w:lang w:eastAsia="en-GB"/>
        </w:rPr>
      </w:pPr>
    </w:p>
    <w:p w:rsidR="00BD2A59" w:rsidRDefault="00BD2A59" w:rsidP="00BD2A59">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 xml:space="preserve">It is widely acknowledged </w:t>
      </w:r>
      <w:r w:rsidR="002C1BE0">
        <w:rPr>
          <w:rFonts w:eastAsia="Times New Roman" w:cs="Helvetica"/>
          <w:color w:val="000000"/>
          <w:sz w:val="24"/>
          <w:szCs w:val="24"/>
          <w:lang w:eastAsia="en-GB"/>
        </w:rPr>
        <w:t>that</w:t>
      </w:r>
      <w:r w:rsidR="009914AD">
        <w:rPr>
          <w:rFonts w:eastAsia="Times New Roman" w:cs="Helvetica"/>
          <w:color w:val="000000"/>
          <w:sz w:val="24"/>
          <w:szCs w:val="24"/>
          <w:lang w:eastAsia="en-GB"/>
        </w:rPr>
        <w:t xml:space="preserve"> repo is fundamentally important to bond markets, allowing for both the financing of positions </w:t>
      </w:r>
      <w:r w:rsidR="007502B1">
        <w:rPr>
          <w:rFonts w:eastAsia="Times New Roman" w:cs="Helvetica"/>
          <w:color w:val="000000"/>
          <w:sz w:val="24"/>
          <w:szCs w:val="24"/>
          <w:lang w:eastAsia="en-GB"/>
        </w:rPr>
        <w:t>and settlement efficiency.  IOSCO</w:t>
      </w:r>
      <w:r w:rsidR="009914AD">
        <w:rPr>
          <w:rFonts w:eastAsia="Times New Roman" w:cs="Helvetica"/>
          <w:color w:val="000000"/>
          <w:sz w:val="24"/>
          <w:szCs w:val="24"/>
          <w:lang w:eastAsia="en-GB"/>
        </w:rPr>
        <w:t xml:space="preserve"> survey respondents did not provide evidence that dealer-bank appetite to intermediate repo had decline</w:t>
      </w:r>
      <w:r w:rsidR="00ED59BF">
        <w:rPr>
          <w:rFonts w:eastAsia="Times New Roman" w:cs="Helvetica"/>
          <w:color w:val="000000"/>
          <w:sz w:val="24"/>
          <w:szCs w:val="24"/>
          <w:lang w:eastAsia="en-GB"/>
        </w:rPr>
        <w:t>d</w:t>
      </w:r>
      <w:r w:rsidR="009914AD">
        <w:rPr>
          <w:rFonts w:eastAsia="Times New Roman" w:cs="Helvetica"/>
          <w:color w:val="000000"/>
          <w:sz w:val="24"/>
          <w:szCs w:val="24"/>
          <w:lang w:eastAsia="en-GB"/>
        </w:rPr>
        <w:t xml:space="preserve">, but extensive data </w:t>
      </w:r>
      <w:r w:rsidR="00ED59BF">
        <w:rPr>
          <w:rFonts w:eastAsia="Times New Roman" w:cs="Helvetica"/>
          <w:color w:val="000000"/>
          <w:sz w:val="24"/>
          <w:szCs w:val="24"/>
          <w:lang w:eastAsia="en-GB"/>
        </w:rPr>
        <w:t>is available to support this</w:t>
      </w:r>
      <w:r w:rsidR="005310D5">
        <w:rPr>
          <w:rFonts w:eastAsia="Times New Roman" w:cs="Helvetica"/>
          <w:color w:val="000000"/>
          <w:sz w:val="24"/>
          <w:szCs w:val="24"/>
          <w:lang w:eastAsia="en-GB"/>
        </w:rPr>
        <w:t xml:space="preserve"> including</w:t>
      </w:r>
      <w:r w:rsidR="009914AD">
        <w:rPr>
          <w:rFonts w:eastAsia="Times New Roman" w:cs="Helvetica"/>
          <w:color w:val="000000"/>
          <w:sz w:val="24"/>
          <w:szCs w:val="24"/>
          <w:lang w:eastAsia="en-GB"/>
        </w:rPr>
        <w:t>:</w:t>
      </w:r>
    </w:p>
    <w:p w:rsidR="009914AD" w:rsidRDefault="009914AD" w:rsidP="00BD2A59">
      <w:pPr>
        <w:spacing w:after="0" w:line="240" w:lineRule="auto"/>
        <w:rPr>
          <w:rFonts w:eastAsia="Times New Roman" w:cs="Helvetica"/>
          <w:color w:val="000000"/>
          <w:sz w:val="24"/>
          <w:szCs w:val="24"/>
          <w:lang w:eastAsia="en-GB"/>
        </w:rPr>
      </w:pPr>
    </w:p>
    <w:p w:rsidR="009914AD" w:rsidRDefault="009914AD" w:rsidP="009914AD">
      <w:pPr>
        <w:pStyle w:val="ListParagraph"/>
        <w:numPr>
          <w:ilvl w:val="0"/>
          <w:numId w:val="2"/>
        </w:num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 xml:space="preserve">Balance sheet reduction for repo (OW, </w:t>
      </w:r>
      <w:r w:rsidR="00231275">
        <w:rPr>
          <w:rFonts w:eastAsia="Times New Roman" w:cs="Helvetica"/>
          <w:color w:val="000000"/>
          <w:sz w:val="24"/>
          <w:szCs w:val="24"/>
          <w:lang w:eastAsia="en-GB"/>
        </w:rPr>
        <w:t xml:space="preserve">table B, </w:t>
      </w:r>
      <w:r>
        <w:rPr>
          <w:rFonts w:eastAsia="Times New Roman" w:cs="Helvetica"/>
          <w:color w:val="000000"/>
          <w:sz w:val="24"/>
          <w:szCs w:val="24"/>
          <w:lang w:eastAsia="en-GB"/>
        </w:rPr>
        <w:t>pg</w:t>
      </w:r>
      <w:r w:rsidR="00DB018B">
        <w:rPr>
          <w:rFonts w:eastAsia="Times New Roman" w:cs="Helvetica"/>
          <w:color w:val="000000"/>
          <w:sz w:val="24"/>
          <w:szCs w:val="24"/>
          <w:lang w:eastAsia="en-GB"/>
        </w:rPr>
        <w:t>.</w:t>
      </w:r>
      <w:r>
        <w:rPr>
          <w:rFonts w:eastAsia="Times New Roman" w:cs="Helvetica"/>
          <w:color w:val="000000"/>
          <w:sz w:val="24"/>
          <w:szCs w:val="24"/>
          <w:lang w:eastAsia="en-GB"/>
        </w:rPr>
        <w:t xml:space="preserve"> xi)</w:t>
      </w:r>
    </w:p>
    <w:p w:rsidR="009914AD" w:rsidRDefault="00231275" w:rsidP="009914AD">
      <w:pPr>
        <w:pStyle w:val="ListParagraph"/>
        <w:numPr>
          <w:ilvl w:val="0"/>
          <w:numId w:val="2"/>
        </w:num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Repo balances of European and U.S. banks (OW, figure 5.10, pg</w:t>
      </w:r>
      <w:r w:rsidR="00DB018B">
        <w:rPr>
          <w:rFonts w:eastAsia="Times New Roman" w:cs="Helvetica"/>
          <w:color w:val="000000"/>
          <w:sz w:val="24"/>
          <w:szCs w:val="24"/>
          <w:lang w:eastAsia="en-GB"/>
        </w:rPr>
        <w:t>.</w:t>
      </w:r>
      <w:r>
        <w:rPr>
          <w:rFonts w:eastAsia="Times New Roman" w:cs="Helvetica"/>
          <w:color w:val="000000"/>
          <w:sz w:val="24"/>
          <w:szCs w:val="24"/>
          <w:lang w:eastAsia="en-GB"/>
        </w:rPr>
        <w:t xml:space="preserve"> 62)</w:t>
      </w:r>
    </w:p>
    <w:p w:rsidR="00231275" w:rsidRDefault="00231275" w:rsidP="00231275">
      <w:pPr>
        <w:spacing w:after="0" w:line="240" w:lineRule="auto"/>
        <w:rPr>
          <w:rFonts w:eastAsia="Times New Roman" w:cs="Helvetica"/>
          <w:color w:val="000000"/>
          <w:sz w:val="24"/>
          <w:szCs w:val="24"/>
          <w:lang w:eastAsia="en-GB"/>
        </w:rPr>
      </w:pPr>
    </w:p>
    <w:p w:rsidR="00231275" w:rsidRPr="00231275" w:rsidRDefault="007502B1" w:rsidP="00231275">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T</w:t>
      </w:r>
      <w:r w:rsidR="00231275">
        <w:rPr>
          <w:rFonts w:eastAsia="Times New Roman" w:cs="Helvetica"/>
          <w:color w:val="000000"/>
          <w:sz w:val="24"/>
          <w:szCs w:val="24"/>
          <w:lang w:eastAsia="en-GB"/>
        </w:rPr>
        <w:t xml:space="preserve">he significant </w:t>
      </w:r>
      <w:r w:rsidR="0093338A">
        <w:rPr>
          <w:rFonts w:eastAsia="Times New Roman" w:cs="Helvetica"/>
          <w:color w:val="000000"/>
          <w:sz w:val="24"/>
          <w:szCs w:val="24"/>
          <w:lang w:eastAsia="en-GB"/>
        </w:rPr>
        <w:t xml:space="preserve">increase in the </w:t>
      </w:r>
      <w:r w:rsidR="00231275">
        <w:rPr>
          <w:rFonts w:eastAsia="Times New Roman" w:cs="Helvetica"/>
          <w:color w:val="000000"/>
          <w:sz w:val="24"/>
          <w:szCs w:val="24"/>
          <w:lang w:eastAsia="en-GB"/>
        </w:rPr>
        <w:t>regulatory costs of the repo business (OW, figure 5.4, pg</w:t>
      </w:r>
      <w:r w:rsidR="00DB018B">
        <w:rPr>
          <w:rFonts w:eastAsia="Times New Roman" w:cs="Helvetica"/>
          <w:color w:val="000000"/>
          <w:sz w:val="24"/>
          <w:szCs w:val="24"/>
          <w:lang w:eastAsia="en-GB"/>
        </w:rPr>
        <w:t>.</w:t>
      </w:r>
      <w:r w:rsidR="00231275">
        <w:rPr>
          <w:rFonts w:eastAsia="Times New Roman" w:cs="Helvetica"/>
          <w:color w:val="000000"/>
          <w:sz w:val="24"/>
          <w:szCs w:val="24"/>
          <w:lang w:eastAsia="en-GB"/>
        </w:rPr>
        <w:t xml:space="preserve"> 54) </w:t>
      </w:r>
      <w:r>
        <w:rPr>
          <w:rFonts w:eastAsia="Times New Roman" w:cs="Helvetica"/>
          <w:color w:val="000000"/>
          <w:sz w:val="24"/>
          <w:szCs w:val="24"/>
          <w:lang w:eastAsia="en-GB"/>
        </w:rPr>
        <w:t xml:space="preserve">has </w:t>
      </w:r>
      <w:r w:rsidR="0099428E">
        <w:rPr>
          <w:rFonts w:eastAsia="Times New Roman" w:cs="Helvetica"/>
          <w:color w:val="000000"/>
          <w:sz w:val="24"/>
          <w:szCs w:val="24"/>
          <w:lang w:eastAsia="en-GB"/>
        </w:rPr>
        <w:t>diminish</w:t>
      </w:r>
      <w:r>
        <w:rPr>
          <w:rFonts w:eastAsia="Times New Roman" w:cs="Helvetica"/>
          <w:color w:val="000000"/>
          <w:sz w:val="24"/>
          <w:szCs w:val="24"/>
          <w:lang w:eastAsia="en-GB"/>
        </w:rPr>
        <w:t>ed</w:t>
      </w:r>
      <w:r w:rsidR="0099428E">
        <w:rPr>
          <w:rFonts w:eastAsia="Times New Roman" w:cs="Helvetica"/>
          <w:color w:val="000000"/>
          <w:sz w:val="24"/>
          <w:szCs w:val="24"/>
          <w:lang w:eastAsia="en-GB"/>
        </w:rPr>
        <w:t xml:space="preserve"> bank participation.</w:t>
      </w:r>
      <w:r w:rsidR="00EB3812">
        <w:rPr>
          <w:rFonts w:eastAsia="Times New Roman" w:cs="Helvetica"/>
          <w:color w:val="000000"/>
          <w:sz w:val="24"/>
          <w:szCs w:val="24"/>
          <w:lang w:eastAsia="en-GB"/>
        </w:rPr>
        <w:t xml:space="preserve">  The Leverage Ratio and NSFR alone are expected to increase the funding costs of low ma</w:t>
      </w:r>
      <w:r w:rsidR="0093338A">
        <w:rPr>
          <w:rFonts w:eastAsia="Times New Roman" w:cs="Helvetica"/>
          <w:color w:val="000000"/>
          <w:sz w:val="24"/>
          <w:szCs w:val="24"/>
          <w:lang w:eastAsia="en-GB"/>
        </w:rPr>
        <w:t>rgin market making business such as</w:t>
      </w:r>
      <w:r w:rsidR="00EB3812">
        <w:rPr>
          <w:rFonts w:eastAsia="Times New Roman" w:cs="Helvetica"/>
          <w:color w:val="000000"/>
          <w:sz w:val="24"/>
          <w:szCs w:val="24"/>
          <w:lang w:eastAsia="en-GB"/>
        </w:rPr>
        <w:t xml:space="preserve"> repo by 60 – 110 basis points.</w:t>
      </w:r>
    </w:p>
    <w:p w:rsidR="00BD2A59" w:rsidRDefault="00BD2A59" w:rsidP="006B41A4">
      <w:pPr>
        <w:spacing w:after="0" w:line="240" w:lineRule="auto"/>
        <w:rPr>
          <w:rFonts w:eastAsia="Times New Roman" w:cs="Helvetica"/>
          <w:color w:val="000000"/>
          <w:sz w:val="24"/>
          <w:szCs w:val="24"/>
          <w:lang w:eastAsia="en-GB"/>
        </w:rPr>
      </w:pPr>
    </w:p>
    <w:p w:rsidR="0079679C" w:rsidRDefault="0079679C" w:rsidP="006B41A4">
      <w:pPr>
        <w:spacing w:after="0" w:line="240" w:lineRule="auto"/>
        <w:rPr>
          <w:rFonts w:eastAsia="Times New Roman" w:cs="Helvetica"/>
          <w:color w:val="000000"/>
          <w:sz w:val="24"/>
          <w:szCs w:val="24"/>
          <w:lang w:eastAsia="en-GB"/>
        </w:rPr>
      </w:pPr>
    </w:p>
    <w:p w:rsidR="005310D5" w:rsidRDefault="005310D5" w:rsidP="006B41A4">
      <w:pPr>
        <w:spacing w:after="0" w:line="240" w:lineRule="auto"/>
        <w:rPr>
          <w:rFonts w:eastAsia="Times New Roman" w:cs="Helvetica"/>
          <w:color w:val="000000"/>
          <w:sz w:val="24"/>
          <w:szCs w:val="24"/>
          <w:lang w:eastAsia="en-GB"/>
        </w:rPr>
      </w:pPr>
      <w:r>
        <w:rPr>
          <w:rFonts w:eastAsia="Times New Roman" w:cs="Helvetica"/>
          <w:b/>
          <w:color w:val="000000"/>
          <w:sz w:val="24"/>
          <w:szCs w:val="24"/>
          <w:lang w:eastAsia="en-GB"/>
        </w:rPr>
        <w:t>Number of counterparties</w:t>
      </w:r>
    </w:p>
    <w:p w:rsidR="00EB3812" w:rsidRDefault="00EB3812" w:rsidP="006B41A4">
      <w:pPr>
        <w:spacing w:after="0" w:line="240" w:lineRule="auto"/>
        <w:rPr>
          <w:rFonts w:eastAsia="Times New Roman" w:cs="Helvetica"/>
          <w:color w:val="000000"/>
          <w:sz w:val="24"/>
          <w:szCs w:val="24"/>
          <w:lang w:eastAsia="en-GB"/>
        </w:rPr>
      </w:pPr>
    </w:p>
    <w:p w:rsidR="005310D5" w:rsidRDefault="005310D5" w:rsidP="006B41A4">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 xml:space="preserve">IOSCO </w:t>
      </w:r>
      <w:r w:rsidR="002A614D">
        <w:rPr>
          <w:rFonts w:eastAsia="Times New Roman" w:cs="Helvetica"/>
          <w:color w:val="000000"/>
          <w:sz w:val="24"/>
          <w:szCs w:val="24"/>
          <w:lang w:eastAsia="en-GB"/>
        </w:rPr>
        <w:t xml:space="preserve">cites a study where the Fed </w:t>
      </w:r>
      <w:r>
        <w:rPr>
          <w:rFonts w:eastAsia="Times New Roman" w:cs="Helvetica"/>
          <w:color w:val="000000"/>
          <w:sz w:val="24"/>
          <w:szCs w:val="24"/>
          <w:lang w:eastAsia="en-GB"/>
        </w:rPr>
        <w:t>argues that historically low overall market making</w:t>
      </w:r>
      <w:r w:rsidR="002A614D">
        <w:rPr>
          <w:rFonts w:eastAsia="Times New Roman" w:cs="Helvetica"/>
          <w:color w:val="000000"/>
          <w:sz w:val="24"/>
          <w:szCs w:val="24"/>
          <w:lang w:eastAsia="en-GB"/>
        </w:rPr>
        <w:t xml:space="preserve"> returns means</w:t>
      </w:r>
      <w:r>
        <w:rPr>
          <w:rFonts w:eastAsia="Times New Roman" w:cs="Helvetica"/>
          <w:color w:val="000000"/>
          <w:sz w:val="24"/>
          <w:szCs w:val="24"/>
          <w:lang w:eastAsia="en-GB"/>
        </w:rPr>
        <w:t xml:space="preserve"> that dealers aren’</w:t>
      </w:r>
      <w:r w:rsidR="002A614D">
        <w:rPr>
          <w:rFonts w:eastAsia="Times New Roman" w:cs="Helvetica"/>
          <w:color w:val="000000"/>
          <w:sz w:val="24"/>
          <w:szCs w:val="24"/>
          <w:lang w:eastAsia="en-GB"/>
        </w:rPr>
        <w:t>t cutting back  market mak</w:t>
      </w:r>
      <w:r w:rsidR="007502B1">
        <w:rPr>
          <w:rFonts w:eastAsia="Times New Roman" w:cs="Helvetica"/>
          <w:color w:val="000000"/>
          <w:sz w:val="24"/>
          <w:szCs w:val="24"/>
          <w:lang w:eastAsia="en-GB"/>
        </w:rPr>
        <w:t>ing.  More direct evidence is</w:t>
      </w:r>
      <w:r w:rsidR="002A614D">
        <w:rPr>
          <w:rFonts w:eastAsia="Times New Roman" w:cs="Helvetica"/>
          <w:color w:val="000000"/>
          <w:sz w:val="24"/>
          <w:szCs w:val="24"/>
          <w:lang w:eastAsia="en-GB"/>
        </w:rPr>
        <w:t xml:space="preserve"> available in the OW report:</w:t>
      </w:r>
    </w:p>
    <w:p w:rsidR="002A614D" w:rsidRDefault="002A614D" w:rsidP="006B41A4">
      <w:pPr>
        <w:spacing w:after="0" w:line="240" w:lineRule="auto"/>
        <w:rPr>
          <w:rFonts w:eastAsia="Times New Roman" w:cs="Helvetica"/>
          <w:color w:val="000000"/>
          <w:sz w:val="24"/>
          <w:szCs w:val="24"/>
          <w:lang w:eastAsia="en-GB"/>
        </w:rPr>
      </w:pPr>
    </w:p>
    <w:p w:rsidR="002A614D" w:rsidRDefault="002A614D" w:rsidP="002A614D">
      <w:pPr>
        <w:pStyle w:val="ListParagraph"/>
        <w:numPr>
          <w:ilvl w:val="0"/>
          <w:numId w:val="2"/>
        </w:num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Balance sheet reductions (table B, pg. xi)</w:t>
      </w:r>
    </w:p>
    <w:p w:rsidR="002A614D" w:rsidRDefault="002A614D" w:rsidP="002A614D">
      <w:pPr>
        <w:pStyle w:val="ListParagraph"/>
        <w:numPr>
          <w:ilvl w:val="0"/>
          <w:numId w:val="2"/>
        </w:num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Changes in structure/activities (figure 5.9, pg. 59)</w:t>
      </w:r>
    </w:p>
    <w:p w:rsidR="002A614D" w:rsidRDefault="002A614D" w:rsidP="002A614D">
      <w:pPr>
        <w:pStyle w:val="ListParagraph"/>
        <w:numPr>
          <w:ilvl w:val="0"/>
          <w:numId w:val="2"/>
        </w:num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Example</w:t>
      </w:r>
      <w:r w:rsidR="0093338A">
        <w:rPr>
          <w:rFonts w:eastAsia="Times New Roman" w:cs="Helvetica"/>
          <w:color w:val="000000"/>
          <w:sz w:val="24"/>
          <w:szCs w:val="24"/>
          <w:lang w:eastAsia="en-GB"/>
        </w:rPr>
        <w:t>s</w:t>
      </w:r>
      <w:r>
        <w:rPr>
          <w:rFonts w:eastAsia="Times New Roman" w:cs="Helvetica"/>
          <w:color w:val="000000"/>
          <w:sz w:val="24"/>
          <w:szCs w:val="24"/>
          <w:lang w:eastAsia="en-GB"/>
        </w:rPr>
        <w:t xml:space="preserve"> of banks exiting/shrinking (</w:t>
      </w:r>
      <w:r w:rsidR="003246F1">
        <w:rPr>
          <w:rFonts w:eastAsia="Times New Roman" w:cs="Helvetica"/>
          <w:color w:val="000000"/>
          <w:sz w:val="24"/>
          <w:szCs w:val="24"/>
          <w:lang w:eastAsia="en-GB"/>
        </w:rPr>
        <w:t>table 5.2, pgs. 59-60)</w:t>
      </w:r>
    </w:p>
    <w:p w:rsidR="00B9487C" w:rsidRDefault="00B9487C" w:rsidP="002A614D">
      <w:pPr>
        <w:pStyle w:val="ListParagraph"/>
        <w:numPr>
          <w:ilvl w:val="0"/>
          <w:numId w:val="2"/>
        </w:num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Net positions of U.S. primary dealers – corporate bonds (figure 5.5, pg. 55)</w:t>
      </w:r>
    </w:p>
    <w:p w:rsidR="003246F1" w:rsidRDefault="003246F1" w:rsidP="003246F1">
      <w:pPr>
        <w:spacing w:after="0" w:line="240" w:lineRule="auto"/>
        <w:rPr>
          <w:rFonts w:eastAsia="Times New Roman" w:cs="Helvetica"/>
          <w:color w:val="000000"/>
          <w:sz w:val="24"/>
          <w:szCs w:val="24"/>
          <w:lang w:eastAsia="en-GB"/>
        </w:rPr>
      </w:pPr>
    </w:p>
    <w:p w:rsidR="003246F1" w:rsidRDefault="003246F1" w:rsidP="003246F1">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Increased regulatory costs</w:t>
      </w:r>
      <w:r w:rsidR="00EB3812">
        <w:rPr>
          <w:rFonts w:eastAsia="Times New Roman" w:cs="Helvetica"/>
          <w:color w:val="000000"/>
          <w:sz w:val="24"/>
          <w:szCs w:val="24"/>
          <w:lang w:eastAsia="en-GB"/>
        </w:rPr>
        <w:t xml:space="preserve"> (OW report)</w:t>
      </w:r>
    </w:p>
    <w:p w:rsidR="003246F1" w:rsidRDefault="003246F1" w:rsidP="003246F1">
      <w:pPr>
        <w:spacing w:after="0" w:line="240" w:lineRule="auto"/>
        <w:rPr>
          <w:rFonts w:eastAsia="Times New Roman" w:cs="Helvetica"/>
          <w:color w:val="000000"/>
          <w:sz w:val="24"/>
          <w:szCs w:val="24"/>
          <w:lang w:eastAsia="en-GB"/>
        </w:rPr>
      </w:pPr>
    </w:p>
    <w:p w:rsidR="003246F1" w:rsidRDefault="003246F1" w:rsidP="003246F1">
      <w:pPr>
        <w:pStyle w:val="ListParagraph"/>
        <w:numPr>
          <w:ilvl w:val="0"/>
          <w:numId w:val="2"/>
        </w:num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Basel III Capital Requirements (figure 5.2, pg. 52)</w:t>
      </w:r>
    </w:p>
    <w:p w:rsidR="003246F1" w:rsidRDefault="003246F1" w:rsidP="003246F1">
      <w:pPr>
        <w:pStyle w:val="ListParagraph"/>
        <w:numPr>
          <w:ilvl w:val="0"/>
          <w:numId w:val="2"/>
        </w:num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Resource consumption (figure 5.4, pg. 54)</w:t>
      </w:r>
    </w:p>
    <w:p w:rsidR="003246F1" w:rsidRDefault="003246F1" w:rsidP="003246F1">
      <w:pPr>
        <w:pStyle w:val="ListParagraph"/>
        <w:spacing w:after="0" w:line="240" w:lineRule="auto"/>
        <w:rPr>
          <w:rFonts w:eastAsia="Times New Roman" w:cs="Helvetica"/>
          <w:color w:val="000000"/>
          <w:sz w:val="24"/>
          <w:szCs w:val="24"/>
          <w:lang w:eastAsia="en-GB"/>
        </w:rPr>
      </w:pPr>
    </w:p>
    <w:p w:rsidR="00B9487C" w:rsidRPr="003246F1" w:rsidRDefault="003246F1" w:rsidP="003246F1">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go a long way in explaining low profitability.</w:t>
      </w:r>
    </w:p>
    <w:p w:rsidR="002A614D" w:rsidRDefault="002A614D" w:rsidP="006B41A4">
      <w:pPr>
        <w:spacing w:after="0" w:line="240" w:lineRule="auto"/>
        <w:rPr>
          <w:rFonts w:eastAsia="Times New Roman" w:cs="Helvetica"/>
          <w:color w:val="000000"/>
          <w:sz w:val="24"/>
          <w:szCs w:val="24"/>
          <w:lang w:eastAsia="en-GB"/>
        </w:rPr>
      </w:pPr>
    </w:p>
    <w:p w:rsidR="00EB3812" w:rsidRDefault="00EB3812" w:rsidP="006B41A4">
      <w:pPr>
        <w:spacing w:after="0" w:line="240" w:lineRule="auto"/>
        <w:rPr>
          <w:rFonts w:eastAsia="Times New Roman" w:cs="Helvetica"/>
          <w:b/>
          <w:color w:val="000000"/>
          <w:sz w:val="24"/>
          <w:szCs w:val="24"/>
          <w:lang w:eastAsia="en-GB"/>
        </w:rPr>
      </w:pPr>
    </w:p>
    <w:p w:rsidR="002A614D" w:rsidRDefault="00EB3812" w:rsidP="006B41A4">
      <w:pPr>
        <w:spacing w:after="0" w:line="240" w:lineRule="auto"/>
        <w:rPr>
          <w:rFonts w:eastAsia="Times New Roman" w:cs="Helvetica"/>
          <w:b/>
          <w:color w:val="000000"/>
          <w:sz w:val="24"/>
          <w:szCs w:val="24"/>
          <w:lang w:eastAsia="en-GB"/>
        </w:rPr>
      </w:pPr>
      <w:r>
        <w:rPr>
          <w:rFonts w:eastAsia="Times New Roman" w:cs="Helvetica"/>
          <w:b/>
          <w:color w:val="000000"/>
          <w:sz w:val="24"/>
          <w:szCs w:val="24"/>
          <w:lang w:eastAsia="en-GB"/>
        </w:rPr>
        <w:t>Volatility</w:t>
      </w:r>
    </w:p>
    <w:p w:rsidR="00EB3812" w:rsidRDefault="00EB3812" w:rsidP="006B41A4">
      <w:pPr>
        <w:spacing w:after="0" w:line="240" w:lineRule="auto"/>
        <w:rPr>
          <w:rFonts w:eastAsia="Times New Roman" w:cs="Helvetica"/>
          <w:b/>
          <w:color w:val="000000"/>
          <w:sz w:val="24"/>
          <w:szCs w:val="24"/>
          <w:lang w:eastAsia="en-GB"/>
        </w:rPr>
      </w:pPr>
    </w:p>
    <w:p w:rsidR="00974027" w:rsidRDefault="00EB3812" w:rsidP="00974027">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T</w:t>
      </w:r>
      <w:r w:rsidR="007502B1">
        <w:rPr>
          <w:rFonts w:eastAsia="Times New Roman" w:cs="Helvetica"/>
          <w:color w:val="000000"/>
          <w:sz w:val="24"/>
          <w:szCs w:val="24"/>
          <w:lang w:eastAsia="en-GB"/>
        </w:rPr>
        <w:t>he IOSCO report does not include an analysis of</w:t>
      </w:r>
      <w:r>
        <w:rPr>
          <w:rFonts w:eastAsia="Times New Roman" w:cs="Helvetica"/>
          <w:color w:val="000000"/>
          <w:sz w:val="24"/>
          <w:szCs w:val="24"/>
          <w:lang w:eastAsia="en-GB"/>
        </w:rPr>
        <w:t xml:space="preserve"> market volatility, which demonstrates that liquidity </w:t>
      </w:r>
      <w:r w:rsidR="0093338A">
        <w:rPr>
          <w:rFonts w:eastAsia="Times New Roman" w:cs="Helvetica"/>
          <w:color w:val="000000"/>
          <w:sz w:val="24"/>
          <w:szCs w:val="24"/>
          <w:lang w:eastAsia="en-GB"/>
        </w:rPr>
        <w:t>is less available when really needed</w:t>
      </w:r>
      <w:r>
        <w:rPr>
          <w:rFonts w:eastAsia="Times New Roman" w:cs="Helvetica"/>
          <w:color w:val="000000"/>
          <w:sz w:val="24"/>
          <w:szCs w:val="24"/>
          <w:lang w:eastAsia="en-GB"/>
        </w:rPr>
        <w:t xml:space="preserve">.  </w:t>
      </w:r>
      <w:r w:rsidR="00B9487C">
        <w:rPr>
          <w:rFonts w:eastAsia="Times New Roman" w:cs="Helvetica"/>
          <w:color w:val="000000"/>
          <w:sz w:val="24"/>
          <w:szCs w:val="24"/>
          <w:lang w:eastAsia="en-GB"/>
        </w:rPr>
        <w:t xml:space="preserve">OW illustrates how declining dealer inventories </w:t>
      </w:r>
      <w:r w:rsidR="00974027">
        <w:rPr>
          <w:rFonts w:eastAsia="Times New Roman" w:cs="Helvetica"/>
          <w:color w:val="000000"/>
          <w:sz w:val="24"/>
          <w:szCs w:val="24"/>
          <w:lang w:eastAsia="en-GB"/>
        </w:rPr>
        <w:t xml:space="preserve">(a reduction in dealers’ shock absorbing capacity) </w:t>
      </w:r>
      <w:r w:rsidR="00B9487C">
        <w:rPr>
          <w:rFonts w:eastAsia="Times New Roman" w:cs="Helvetica"/>
          <w:color w:val="000000"/>
          <w:sz w:val="24"/>
          <w:szCs w:val="24"/>
          <w:lang w:eastAsia="en-GB"/>
        </w:rPr>
        <w:t>may be linked to higher volatility and lower liquidity (CMBS, figure 5.6, pg. 56 and High Yield, figure 5.7, pg. 57).</w:t>
      </w:r>
      <w:r w:rsidR="00974027">
        <w:rPr>
          <w:rFonts w:eastAsia="Times New Roman" w:cs="Helvetica"/>
          <w:color w:val="000000"/>
          <w:sz w:val="24"/>
          <w:szCs w:val="24"/>
          <w:lang w:eastAsia="en-GB"/>
        </w:rPr>
        <w:t xml:space="preserve">  </w:t>
      </w:r>
    </w:p>
    <w:p w:rsidR="00EB3812" w:rsidRDefault="00EB3812" w:rsidP="006B41A4">
      <w:pPr>
        <w:spacing w:after="0" w:line="240" w:lineRule="auto"/>
        <w:rPr>
          <w:rFonts w:eastAsia="Times New Roman" w:cs="Helvetica"/>
          <w:color w:val="000000"/>
          <w:sz w:val="24"/>
          <w:szCs w:val="24"/>
          <w:lang w:eastAsia="en-GB"/>
        </w:rPr>
      </w:pPr>
    </w:p>
    <w:p w:rsidR="00EB3812" w:rsidRDefault="00EB3812" w:rsidP="006B41A4">
      <w:pPr>
        <w:spacing w:after="0" w:line="240" w:lineRule="auto"/>
        <w:rPr>
          <w:rFonts w:eastAsia="Times New Roman" w:cs="Helvetica"/>
          <w:color w:val="000000"/>
          <w:sz w:val="24"/>
          <w:szCs w:val="24"/>
          <w:lang w:eastAsia="en-GB"/>
        </w:rPr>
      </w:pPr>
    </w:p>
    <w:p w:rsidR="00EB3812" w:rsidRPr="00EB3812" w:rsidRDefault="00EB3812" w:rsidP="006B41A4">
      <w:pPr>
        <w:spacing w:after="0" w:line="240" w:lineRule="auto"/>
        <w:rPr>
          <w:rFonts w:eastAsia="Times New Roman" w:cs="Helvetica"/>
          <w:color w:val="000000"/>
          <w:sz w:val="24"/>
          <w:szCs w:val="24"/>
          <w:lang w:eastAsia="en-GB"/>
        </w:rPr>
      </w:pPr>
    </w:p>
    <w:p w:rsidR="005310D5" w:rsidRDefault="005310D5" w:rsidP="006B41A4">
      <w:pPr>
        <w:spacing w:after="0" w:line="240" w:lineRule="auto"/>
        <w:rPr>
          <w:rFonts w:eastAsia="Times New Roman" w:cs="Helvetica"/>
          <w:color w:val="000000"/>
          <w:sz w:val="24"/>
          <w:szCs w:val="24"/>
          <w:lang w:eastAsia="en-GB"/>
        </w:rPr>
      </w:pPr>
    </w:p>
    <w:p w:rsidR="0079679C" w:rsidRPr="00833714" w:rsidRDefault="00833714" w:rsidP="006B41A4">
      <w:pPr>
        <w:spacing w:after="0" w:line="240" w:lineRule="auto"/>
        <w:rPr>
          <w:rFonts w:eastAsia="Times New Roman" w:cs="Helvetica"/>
          <w:b/>
          <w:color w:val="000000"/>
          <w:sz w:val="28"/>
          <w:szCs w:val="28"/>
          <w:u w:val="single"/>
          <w:lang w:eastAsia="en-GB"/>
        </w:rPr>
      </w:pPr>
      <w:r w:rsidRPr="00833714">
        <w:rPr>
          <w:rFonts w:eastAsia="Times New Roman" w:cs="Helvetica"/>
          <w:b/>
          <w:color w:val="000000"/>
          <w:sz w:val="28"/>
          <w:szCs w:val="28"/>
          <w:u w:val="single"/>
          <w:lang w:eastAsia="en-GB"/>
        </w:rPr>
        <w:t>CONCLUSION</w:t>
      </w:r>
    </w:p>
    <w:p w:rsidR="00833714" w:rsidRDefault="00833714" w:rsidP="006B41A4">
      <w:pPr>
        <w:spacing w:after="0" w:line="240" w:lineRule="auto"/>
        <w:rPr>
          <w:rFonts w:eastAsia="Times New Roman" w:cs="Helvetica"/>
          <w:b/>
          <w:color w:val="000000"/>
          <w:sz w:val="24"/>
          <w:szCs w:val="24"/>
          <w:lang w:eastAsia="en-GB"/>
        </w:rPr>
      </w:pPr>
    </w:p>
    <w:p w:rsidR="009D4310" w:rsidRDefault="00323798" w:rsidP="006B41A4">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 xml:space="preserve">The regulatory imperative since the outset of the Global Financial Crisis has been to make banks safer and reduce the liability of the taxpayer.  This means a new and increased reliance on market based finance.  There is a strong consensus view across all parties that liquidity is vital, </w:t>
      </w:r>
      <w:r w:rsidR="0043351F">
        <w:rPr>
          <w:rFonts w:eastAsia="Times New Roman" w:cs="Helvetica"/>
          <w:color w:val="000000"/>
          <w:sz w:val="24"/>
          <w:szCs w:val="24"/>
          <w:lang w:eastAsia="en-GB"/>
        </w:rPr>
        <w:t>but given the new structure of the financial system it becomes even more serious.  Th</w:t>
      </w:r>
      <w:r w:rsidR="0093338A">
        <w:rPr>
          <w:rFonts w:eastAsia="Times New Roman" w:cs="Helvetica"/>
          <w:color w:val="000000"/>
          <w:sz w:val="24"/>
          <w:szCs w:val="24"/>
          <w:lang w:eastAsia="en-GB"/>
        </w:rPr>
        <w:t>e regulatory community has accepted</w:t>
      </w:r>
      <w:r w:rsidR="0043351F">
        <w:rPr>
          <w:rFonts w:eastAsia="Times New Roman" w:cs="Helvetica"/>
          <w:color w:val="000000"/>
          <w:sz w:val="24"/>
          <w:szCs w:val="24"/>
          <w:lang w:eastAsia="en-GB"/>
        </w:rPr>
        <w:t xml:space="preserve"> liquid</w:t>
      </w:r>
      <w:r w:rsidR="00BF1BE7">
        <w:rPr>
          <w:rFonts w:eastAsia="Times New Roman" w:cs="Helvetica"/>
          <w:color w:val="000000"/>
          <w:sz w:val="24"/>
          <w:szCs w:val="24"/>
          <w:lang w:eastAsia="en-GB"/>
        </w:rPr>
        <w:t>ity conditions the</w:t>
      </w:r>
      <w:r w:rsidR="009D4310">
        <w:rPr>
          <w:rFonts w:eastAsia="Times New Roman" w:cs="Helvetica"/>
          <w:color w:val="000000"/>
          <w:sz w:val="24"/>
          <w:szCs w:val="24"/>
          <w:lang w:eastAsia="en-GB"/>
        </w:rPr>
        <w:t>y</w:t>
      </w:r>
      <w:r w:rsidR="00BF1BE7">
        <w:rPr>
          <w:rFonts w:eastAsia="Times New Roman" w:cs="Helvetica"/>
          <w:color w:val="000000"/>
          <w:sz w:val="24"/>
          <w:szCs w:val="24"/>
          <w:lang w:eastAsia="en-GB"/>
        </w:rPr>
        <w:t xml:space="preserve"> perceive </w:t>
      </w:r>
      <w:r w:rsidR="009D4310">
        <w:rPr>
          <w:rFonts w:eastAsia="Times New Roman" w:cs="Helvetica"/>
          <w:color w:val="000000"/>
          <w:sz w:val="24"/>
          <w:szCs w:val="24"/>
          <w:lang w:eastAsia="en-GB"/>
        </w:rPr>
        <w:t>a</w:t>
      </w:r>
      <w:r w:rsidR="00BF1BE7">
        <w:rPr>
          <w:rFonts w:eastAsia="Times New Roman" w:cs="Helvetica"/>
          <w:color w:val="000000"/>
          <w:sz w:val="24"/>
          <w:szCs w:val="24"/>
          <w:lang w:eastAsia="en-GB"/>
        </w:rPr>
        <w:t>s not worsening</w:t>
      </w:r>
      <w:r w:rsidR="00F7563A">
        <w:rPr>
          <w:rFonts w:eastAsia="Times New Roman" w:cs="Helvetica"/>
          <w:color w:val="000000"/>
          <w:sz w:val="24"/>
          <w:szCs w:val="24"/>
          <w:lang w:eastAsia="en-GB"/>
        </w:rPr>
        <w:t>, but step</w:t>
      </w:r>
      <w:r w:rsidR="009D4310">
        <w:rPr>
          <w:rFonts w:eastAsia="Times New Roman" w:cs="Helvetica"/>
          <w:color w:val="000000"/>
          <w:sz w:val="24"/>
          <w:szCs w:val="24"/>
          <w:lang w:eastAsia="en-GB"/>
        </w:rPr>
        <w:t>s are needed to actively fortify</w:t>
      </w:r>
      <w:r w:rsidR="00F7563A">
        <w:rPr>
          <w:rFonts w:eastAsia="Times New Roman" w:cs="Helvetica"/>
          <w:color w:val="000000"/>
          <w:sz w:val="24"/>
          <w:szCs w:val="24"/>
          <w:lang w:eastAsia="en-GB"/>
        </w:rPr>
        <w:t xml:space="preserve"> </w:t>
      </w:r>
      <w:r w:rsidR="0043351F">
        <w:rPr>
          <w:rFonts w:eastAsia="Times New Roman" w:cs="Helvetica"/>
          <w:color w:val="000000"/>
          <w:sz w:val="24"/>
          <w:szCs w:val="24"/>
          <w:lang w:eastAsia="en-GB"/>
        </w:rPr>
        <w:t>liquidity</w:t>
      </w:r>
      <w:r w:rsidR="007875A9">
        <w:rPr>
          <w:rFonts w:eastAsia="Times New Roman" w:cs="Helvetica"/>
          <w:color w:val="000000"/>
          <w:sz w:val="24"/>
          <w:szCs w:val="24"/>
          <w:lang w:eastAsia="en-GB"/>
        </w:rPr>
        <w:t xml:space="preserve"> for</w:t>
      </w:r>
      <w:r w:rsidR="009D4310">
        <w:rPr>
          <w:rFonts w:eastAsia="Times New Roman" w:cs="Helvetica"/>
          <w:color w:val="000000"/>
          <w:sz w:val="24"/>
          <w:szCs w:val="24"/>
          <w:lang w:eastAsia="en-GB"/>
        </w:rPr>
        <w:t xml:space="preserve"> difficult markets</w:t>
      </w:r>
      <w:r w:rsidR="007875A9">
        <w:rPr>
          <w:rFonts w:eastAsia="Times New Roman" w:cs="Helvetica"/>
          <w:color w:val="000000"/>
          <w:sz w:val="24"/>
          <w:szCs w:val="24"/>
          <w:lang w:eastAsia="en-GB"/>
        </w:rPr>
        <w:t xml:space="preserve"> that will inevitably come in the future</w:t>
      </w:r>
      <w:r w:rsidR="0043351F">
        <w:rPr>
          <w:rFonts w:eastAsia="Times New Roman" w:cs="Helvetica"/>
          <w:color w:val="000000"/>
          <w:sz w:val="24"/>
          <w:szCs w:val="24"/>
          <w:lang w:eastAsia="en-GB"/>
        </w:rPr>
        <w:t>.</w:t>
      </w:r>
      <w:r w:rsidR="009D4310">
        <w:rPr>
          <w:rFonts w:eastAsia="Times New Roman" w:cs="Helvetica"/>
          <w:color w:val="000000"/>
          <w:sz w:val="24"/>
          <w:szCs w:val="24"/>
          <w:lang w:eastAsia="en-GB"/>
        </w:rPr>
        <w:t xml:space="preserve">  </w:t>
      </w:r>
      <w:r w:rsidR="00691F19">
        <w:rPr>
          <w:rFonts w:eastAsia="Times New Roman" w:cs="Helvetica"/>
          <w:color w:val="000000"/>
          <w:sz w:val="24"/>
          <w:szCs w:val="24"/>
          <w:lang w:eastAsia="en-GB"/>
        </w:rPr>
        <w:t>We cannot expect markets to provide more while allowing them to function less effectively.</w:t>
      </w:r>
    </w:p>
    <w:p w:rsidR="009D4310" w:rsidRDefault="009D4310" w:rsidP="006B41A4">
      <w:pPr>
        <w:spacing w:after="0" w:line="240" w:lineRule="auto"/>
        <w:rPr>
          <w:rFonts w:eastAsia="Times New Roman" w:cs="Helvetica"/>
          <w:color w:val="000000"/>
          <w:sz w:val="24"/>
          <w:szCs w:val="24"/>
          <w:lang w:eastAsia="en-GB"/>
        </w:rPr>
      </w:pPr>
    </w:p>
    <w:p w:rsidR="0043351F" w:rsidRDefault="009D4310" w:rsidP="006B41A4">
      <w:pPr>
        <w:spacing w:after="0" w:line="240" w:lineRule="auto"/>
        <w:rPr>
          <w:rFonts w:eastAsia="Times New Roman" w:cs="Helvetica"/>
          <w:color w:val="000000"/>
          <w:sz w:val="24"/>
          <w:szCs w:val="24"/>
          <w:lang w:eastAsia="en-GB"/>
        </w:rPr>
      </w:pPr>
      <w:r>
        <w:rPr>
          <w:rFonts w:eastAsia="Times New Roman" w:cs="Helvetica"/>
          <w:color w:val="000000"/>
          <w:sz w:val="24"/>
          <w:szCs w:val="24"/>
          <w:lang w:eastAsia="en-GB"/>
        </w:rPr>
        <w:t xml:space="preserve">Extreme </w:t>
      </w:r>
      <w:r w:rsidR="007875A9">
        <w:rPr>
          <w:rFonts w:eastAsia="Times New Roman" w:cs="Helvetica"/>
          <w:color w:val="000000"/>
          <w:sz w:val="24"/>
          <w:szCs w:val="24"/>
          <w:lang w:eastAsia="en-GB"/>
        </w:rPr>
        <w:t xml:space="preserve">and unprecedented </w:t>
      </w:r>
      <w:r>
        <w:rPr>
          <w:rFonts w:eastAsia="Times New Roman" w:cs="Helvetica"/>
          <w:color w:val="000000"/>
          <w:sz w:val="24"/>
          <w:szCs w:val="24"/>
          <w:lang w:eastAsia="en-GB"/>
        </w:rPr>
        <w:t>monetary policies are being employed to promote stability and growth.  These measures are propping up l</w:t>
      </w:r>
      <w:r w:rsidR="007875A9">
        <w:rPr>
          <w:rFonts w:eastAsia="Times New Roman" w:cs="Helvetica"/>
          <w:color w:val="000000"/>
          <w:sz w:val="24"/>
          <w:szCs w:val="24"/>
          <w:lang w:eastAsia="en-GB"/>
        </w:rPr>
        <w:t>iquidity in a highly substantial</w:t>
      </w:r>
      <w:r w:rsidR="00FF3784">
        <w:rPr>
          <w:rFonts w:eastAsia="Times New Roman" w:cs="Helvetica"/>
          <w:color w:val="000000"/>
          <w:sz w:val="24"/>
          <w:szCs w:val="24"/>
          <w:lang w:eastAsia="en-GB"/>
        </w:rPr>
        <w:t xml:space="preserve"> but </w:t>
      </w:r>
      <w:r w:rsidR="00B94AC6">
        <w:rPr>
          <w:rFonts w:eastAsia="Times New Roman" w:cs="Helvetica"/>
          <w:color w:val="000000"/>
          <w:sz w:val="24"/>
          <w:szCs w:val="24"/>
          <w:lang w:eastAsia="en-GB"/>
        </w:rPr>
        <w:t>artificial manner</w:t>
      </w:r>
      <w:r>
        <w:rPr>
          <w:rFonts w:eastAsia="Times New Roman" w:cs="Helvetica"/>
          <w:color w:val="000000"/>
          <w:sz w:val="24"/>
          <w:szCs w:val="24"/>
          <w:lang w:eastAsia="en-GB"/>
        </w:rPr>
        <w:t xml:space="preserve">. Over time these policies </w:t>
      </w:r>
      <w:r w:rsidR="00B94AC6">
        <w:rPr>
          <w:rFonts w:eastAsia="Times New Roman" w:cs="Helvetica"/>
          <w:color w:val="000000"/>
          <w:sz w:val="24"/>
          <w:szCs w:val="24"/>
          <w:lang w:eastAsia="en-GB"/>
        </w:rPr>
        <w:t>create</w:t>
      </w:r>
      <w:r>
        <w:rPr>
          <w:rFonts w:eastAsia="Times New Roman" w:cs="Helvetica"/>
          <w:color w:val="000000"/>
          <w:sz w:val="24"/>
          <w:szCs w:val="24"/>
          <w:lang w:eastAsia="en-GB"/>
        </w:rPr>
        <w:t xml:space="preserve"> major imbalances</w:t>
      </w:r>
      <w:r w:rsidR="00B94AC6">
        <w:rPr>
          <w:rFonts w:eastAsia="Times New Roman" w:cs="Helvetica"/>
          <w:color w:val="000000"/>
          <w:sz w:val="24"/>
          <w:szCs w:val="24"/>
          <w:lang w:eastAsia="en-GB"/>
        </w:rPr>
        <w:t xml:space="preserve"> and market anomalies</w:t>
      </w:r>
      <w:r>
        <w:rPr>
          <w:rFonts w:eastAsia="Times New Roman" w:cs="Helvetica"/>
          <w:color w:val="000000"/>
          <w:sz w:val="24"/>
          <w:szCs w:val="24"/>
          <w:lang w:eastAsia="en-GB"/>
        </w:rPr>
        <w:t>, and must be withdrawn</w:t>
      </w:r>
      <w:r w:rsidR="007875A9">
        <w:rPr>
          <w:rFonts w:eastAsia="Times New Roman" w:cs="Helvetica"/>
          <w:color w:val="000000"/>
          <w:sz w:val="24"/>
          <w:szCs w:val="24"/>
          <w:lang w:eastAsia="en-GB"/>
        </w:rPr>
        <w:t xml:space="preserve"> at some point to restore discipline, order, and sensible risk/return.  </w:t>
      </w:r>
    </w:p>
    <w:p w:rsidR="00661CB7" w:rsidRDefault="00661CB7" w:rsidP="004113EC">
      <w:pPr>
        <w:spacing w:after="0" w:line="240" w:lineRule="auto"/>
        <w:rPr>
          <w:rFonts w:eastAsia="Times New Roman" w:cs="Helvetica"/>
          <w:color w:val="000000"/>
          <w:sz w:val="24"/>
          <w:szCs w:val="24"/>
          <w:lang w:eastAsia="en-GB"/>
        </w:rPr>
      </w:pPr>
    </w:p>
    <w:p w:rsidR="006B41A4" w:rsidRDefault="0043351F" w:rsidP="004113EC">
      <w:pPr>
        <w:spacing w:after="0" w:line="240" w:lineRule="auto"/>
        <w:rPr>
          <w:sz w:val="24"/>
          <w:szCs w:val="24"/>
        </w:rPr>
      </w:pPr>
      <w:r>
        <w:rPr>
          <w:rFonts w:eastAsia="Times New Roman" w:cs="Helvetica"/>
          <w:color w:val="000000"/>
          <w:sz w:val="24"/>
          <w:szCs w:val="24"/>
          <w:lang w:eastAsia="en-GB"/>
        </w:rPr>
        <w:t xml:space="preserve">The IOSCO study focuses on liquidity in non-crisis periods.  But </w:t>
      </w:r>
      <w:r w:rsidR="00F7563A">
        <w:rPr>
          <w:rFonts w:eastAsia="Times New Roman" w:cs="Helvetica"/>
          <w:color w:val="000000"/>
          <w:sz w:val="24"/>
          <w:szCs w:val="24"/>
          <w:lang w:eastAsia="en-GB"/>
        </w:rPr>
        <w:t>it is in crisis situations when liquidity becomes perhaps the most important element of all.  One is reminded of criticisms of VaR, where “you ha</w:t>
      </w:r>
      <w:r w:rsidR="0093338A">
        <w:rPr>
          <w:rFonts w:eastAsia="Times New Roman" w:cs="Helvetica"/>
          <w:color w:val="000000"/>
          <w:sz w:val="24"/>
          <w:szCs w:val="24"/>
          <w:lang w:eastAsia="en-GB"/>
        </w:rPr>
        <w:t xml:space="preserve">ve an airbag that works </w:t>
      </w:r>
      <w:r w:rsidR="00F7563A">
        <w:rPr>
          <w:rFonts w:eastAsia="Times New Roman" w:cs="Helvetica"/>
          <w:color w:val="000000"/>
          <w:sz w:val="24"/>
          <w:szCs w:val="24"/>
          <w:lang w:eastAsia="en-GB"/>
        </w:rPr>
        <w:t>unless you have a car crash.”  An understanding of likely effects on liquidity</w:t>
      </w:r>
      <w:r w:rsidR="006E38D9">
        <w:rPr>
          <w:rFonts w:eastAsia="Times New Roman" w:cs="Helvetica"/>
          <w:color w:val="000000"/>
          <w:sz w:val="24"/>
          <w:szCs w:val="24"/>
          <w:lang w:eastAsia="en-GB"/>
        </w:rPr>
        <w:t xml:space="preserve"> in times of stress is vital</w:t>
      </w:r>
      <w:r w:rsidR="00F7563A">
        <w:rPr>
          <w:rFonts w:eastAsia="Times New Roman" w:cs="Helvetica"/>
          <w:color w:val="000000"/>
          <w:sz w:val="24"/>
          <w:szCs w:val="24"/>
          <w:lang w:eastAsia="en-GB"/>
        </w:rPr>
        <w:t xml:space="preserve">. Central banks and governments are highly experienced in intervening </w:t>
      </w:r>
      <w:r w:rsidR="001645D0">
        <w:rPr>
          <w:rFonts w:eastAsia="Times New Roman" w:cs="Helvetica"/>
          <w:color w:val="000000"/>
          <w:sz w:val="24"/>
          <w:szCs w:val="24"/>
          <w:lang w:eastAsia="en-GB"/>
        </w:rPr>
        <w:t>in banks in times of turmoil, but it</w:t>
      </w:r>
      <w:r w:rsidR="00BF1BE7">
        <w:rPr>
          <w:rFonts w:eastAsia="Times New Roman" w:cs="Helvetica"/>
          <w:color w:val="000000"/>
          <w:sz w:val="24"/>
          <w:szCs w:val="24"/>
          <w:lang w:eastAsia="en-GB"/>
        </w:rPr>
        <w:t xml:space="preserve"> is less clear how stability could</w:t>
      </w:r>
      <w:r w:rsidR="001645D0">
        <w:rPr>
          <w:rFonts w:eastAsia="Times New Roman" w:cs="Helvetica"/>
          <w:color w:val="000000"/>
          <w:sz w:val="24"/>
          <w:szCs w:val="24"/>
          <w:lang w:eastAsia="en-GB"/>
        </w:rPr>
        <w:t xml:space="preserve"> be achieved in the new and expanded financial markets</w:t>
      </w:r>
      <w:r w:rsidR="00BF1BE7">
        <w:rPr>
          <w:rFonts w:eastAsia="Times New Roman" w:cs="Helvetica"/>
          <w:color w:val="000000"/>
          <w:sz w:val="24"/>
          <w:szCs w:val="24"/>
          <w:lang w:eastAsia="en-GB"/>
        </w:rPr>
        <w:t xml:space="preserve"> without liquidity</w:t>
      </w:r>
      <w:r w:rsidR="001645D0">
        <w:rPr>
          <w:rFonts w:eastAsia="Times New Roman" w:cs="Helvetica"/>
          <w:color w:val="000000"/>
          <w:sz w:val="24"/>
          <w:szCs w:val="24"/>
          <w:lang w:eastAsia="en-GB"/>
        </w:rPr>
        <w:t>.</w:t>
      </w:r>
      <w:r w:rsidR="004113EC" w:rsidRPr="00B37D46">
        <w:rPr>
          <w:sz w:val="24"/>
          <w:szCs w:val="24"/>
        </w:rPr>
        <w:t xml:space="preserve"> </w:t>
      </w:r>
    </w:p>
    <w:p w:rsidR="008E249C" w:rsidRDefault="008E249C" w:rsidP="004113EC">
      <w:pPr>
        <w:spacing w:after="0" w:line="240" w:lineRule="auto"/>
        <w:rPr>
          <w:sz w:val="24"/>
          <w:szCs w:val="24"/>
        </w:rPr>
      </w:pPr>
    </w:p>
    <w:p w:rsidR="00EB3812" w:rsidRDefault="00EB3812" w:rsidP="004113EC">
      <w:pPr>
        <w:spacing w:after="0" w:line="240" w:lineRule="auto"/>
        <w:rPr>
          <w:sz w:val="24"/>
          <w:szCs w:val="24"/>
        </w:rPr>
      </w:pPr>
    </w:p>
    <w:p w:rsidR="008E249C" w:rsidRPr="00833714" w:rsidRDefault="00833714" w:rsidP="004113EC">
      <w:pPr>
        <w:spacing w:after="0" w:line="240" w:lineRule="auto"/>
        <w:rPr>
          <w:b/>
          <w:sz w:val="28"/>
          <w:szCs w:val="28"/>
          <w:u w:val="single"/>
        </w:rPr>
      </w:pPr>
      <w:r w:rsidRPr="00833714">
        <w:rPr>
          <w:b/>
          <w:sz w:val="28"/>
          <w:szCs w:val="28"/>
          <w:u w:val="single"/>
        </w:rPr>
        <w:t>INDUSTRY “ASK”</w:t>
      </w:r>
    </w:p>
    <w:p w:rsidR="008E249C" w:rsidRDefault="008E249C" w:rsidP="004113EC">
      <w:pPr>
        <w:spacing w:after="0" w:line="240" w:lineRule="auto"/>
        <w:rPr>
          <w:b/>
          <w:sz w:val="24"/>
          <w:szCs w:val="24"/>
        </w:rPr>
      </w:pPr>
    </w:p>
    <w:p w:rsidR="00CE0919" w:rsidRPr="006E38D9" w:rsidRDefault="007502B1" w:rsidP="004113EC">
      <w:pPr>
        <w:spacing w:after="0" w:line="240" w:lineRule="auto"/>
        <w:rPr>
          <w:sz w:val="24"/>
          <w:szCs w:val="24"/>
        </w:rPr>
      </w:pPr>
      <w:r>
        <w:rPr>
          <w:sz w:val="24"/>
          <w:szCs w:val="24"/>
        </w:rPr>
        <w:t>This response supports the following “asks”</w:t>
      </w:r>
      <w:r w:rsidR="00CE0919" w:rsidRPr="006E38D9">
        <w:rPr>
          <w:sz w:val="24"/>
          <w:szCs w:val="24"/>
        </w:rPr>
        <w:t>:</w:t>
      </w:r>
    </w:p>
    <w:p w:rsidR="00CE0919" w:rsidRPr="006E38D9" w:rsidRDefault="00CE0919" w:rsidP="004113EC">
      <w:pPr>
        <w:spacing w:after="0" w:line="240" w:lineRule="auto"/>
        <w:rPr>
          <w:sz w:val="24"/>
          <w:szCs w:val="24"/>
        </w:rPr>
      </w:pPr>
    </w:p>
    <w:p w:rsidR="001A19E1" w:rsidRPr="006E38D9" w:rsidRDefault="006E38D9" w:rsidP="008E249C">
      <w:pPr>
        <w:pStyle w:val="ListParagraph"/>
        <w:numPr>
          <w:ilvl w:val="0"/>
          <w:numId w:val="1"/>
        </w:numPr>
        <w:spacing w:after="0" w:line="240" w:lineRule="auto"/>
        <w:rPr>
          <w:sz w:val="24"/>
          <w:szCs w:val="24"/>
        </w:rPr>
      </w:pPr>
      <w:r w:rsidRPr="006E38D9">
        <w:rPr>
          <w:sz w:val="24"/>
          <w:szCs w:val="24"/>
        </w:rPr>
        <w:t xml:space="preserve">Seek to avoid regulatory </w:t>
      </w:r>
      <w:r w:rsidR="001A19E1" w:rsidRPr="006E38D9">
        <w:rPr>
          <w:sz w:val="24"/>
          <w:szCs w:val="24"/>
        </w:rPr>
        <w:t>duplication or co</w:t>
      </w:r>
      <w:r w:rsidRPr="006E38D9">
        <w:rPr>
          <w:sz w:val="24"/>
          <w:szCs w:val="24"/>
        </w:rPr>
        <w:t>nflicts in an effort to grow liquidity</w:t>
      </w:r>
    </w:p>
    <w:p w:rsidR="001A19E1" w:rsidRPr="006E38D9" w:rsidRDefault="006E38D9" w:rsidP="008E249C">
      <w:pPr>
        <w:pStyle w:val="ListParagraph"/>
        <w:numPr>
          <w:ilvl w:val="0"/>
          <w:numId w:val="1"/>
        </w:numPr>
        <w:spacing w:after="0" w:line="240" w:lineRule="auto"/>
        <w:rPr>
          <w:sz w:val="24"/>
          <w:szCs w:val="24"/>
        </w:rPr>
      </w:pPr>
      <w:r w:rsidRPr="006E38D9">
        <w:rPr>
          <w:sz w:val="24"/>
          <w:szCs w:val="24"/>
        </w:rPr>
        <w:t xml:space="preserve">Perform a </w:t>
      </w:r>
      <w:r w:rsidR="001A19E1" w:rsidRPr="006E38D9">
        <w:rPr>
          <w:sz w:val="24"/>
          <w:szCs w:val="24"/>
        </w:rPr>
        <w:t>c</w:t>
      </w:r>
      <w:r w:rsidRPr="006E38D9">
        <w:rPr>
          <w:sz w:val="24"/>
          <w:szCs w:val="24"/>
        </w:rPr>
        <w:t xml:space="preserve">umulative </w:t>
      </w:r>
      <w:r w:rsidR="00EB3812">
        <w:rPr>
          <w:sz w:val="24"/>
          <w:szCs w:val="24"/>
        </w:rPr>
        <w:t xml:space="preserve">assessment impact </w:t>
      </w:r>
      <w:r w:rsidRPr="006E38D9">
        <w:rPr>
          <w:sz w:val="24"/>
          <w:szCs w:val="24"/>
        </w:rPr>
        <w:t>of the full set of regulation</w:t>
      </w:r>
      <w:r w:rsidR="00EB3812">
        <w:rPr>
          <w:sz w:val="24"/>
          <w:szCs w:val="24"/>
        </w:rPr>
        <w:t>s</w:t>
      </w:r>
    </w:p>
    <w:p w:rsidR="006E38D9" w:rsidRPr="006E38D9" w:rsidRDefault="006E38D9" w:rsidP="008E249C">
      <w:pPr>
        <w:pStyle w:val="ListParagraph"/>
        <w:numPr>
          <w:ilvl w:val="0"/>
          <w:numId w:val="1"/>
        </w:numPr>
        <w:spacing w:after="0" w:line="240" w:lineRule="auto"/>
        <w:rPr>
          <w:sz w:val="24"/>
          <w:szCs w:val="24"/>
        </w:rPr>
      </w:pPr>
      <w:r w:rsidRPr="006E38D9">
        <w:rPr>
          <w:sz w:val="24"/>
          <w:szCs w:val="24"/>
        </w:rPr>
        <w:t xml:space="preserve">Make full use of </w:t>
      </w:r>
      <w:r w:rsidR="00CB3534">
        <w:rPr>
          <w:sz w:val="24"/>
          <w:szCs w:val="24"/>
        </w:rPr>
        <w:t>metrics, including relative holdings of institutional investors, dealers, banks, and central banks</w:t>
      </w:r>
    </w:p>
    <w:p w:rsidR="008E249C" w:rsidRDefault="00305E54" w:rsidP="008E249C">
      <w:pPr>
        <w:pStyle w:val="ListParagraph"/>
        <w:numPr>
          <w:ilvl w:val="0"/>
          <w:numId w:val="1"/>
        </w:numPr>
        <w:spacing w:after="0" w:line="240" w:lineRule="auto"/>
        <w:rPr>
          <w:sz w:val="24"/>
          <w:szCs w:val="24"/>
        </w:rPr>
      </w:pPr>
      <w:r>
        <w:rPr>
          <w:sz w:val="24"/>
          <w:szCs w:val="24"/>
        </w:rPr>
        <w:t xml:space="preserve">Survey the “real” </w:t>
      </w:r>
      <w:r w:rsidR="008E249C" w:rsidRPr="006E38D9">
        <w:rPr>
          <w:sz w:val="24"/>
          <w:szCs w:val="24"/>
        </w:rPr>
        <w:t xml:space="preserve">industry users of markets – the </w:t>
      </w:r>
      <w:r w:rsidR="008E249C" w:rsidRPr="006E38D9">
        <w:rPr>
          <w:i/>
          <w:sz w:val="24"/>
          <w:szCs w:val="24"/>
        </w:rPr>
        <w:t xml:space="preserve">issuers </w:t>
      </w:r>
      <w:r w:rsidR="006E38D9" w:rsidRPr="006E38D9">
        <w:rPr>
          <w:sz w:val="24"/>
          <w:szCs w:val="24"/>
        </w:rPr>
        <w:t>of corporate debt</w:t>
      </w:r>
      <w:r w:rsidR="00DB018B">
        <w:rPr>
          <w:sz w:val="24"/>
          <w:szCs w:val="24"/>
        </w:rPr>
        <w:t xml:space="preserve"> as well as </w:t>
      </w:r>
      <w:r w:rsidR="00DB018B">
        <w:rPr>
          <w:i/>
          <w:sz w:val="24"/>
          <w:szCs w:val="24"/>
        </w:rPr>
        <w:t>investors</w:t>
      </w:r>
      <w:r w:rsidR="00DB018B">
        <w:rPr>
          <w:sz w:val="24"/>
          <w:szCs w:val="24"/>
        </w:rPr>
        <w:t xml:space="preserve">  </w:t>
      </w:r>
    </w:p>
    <w:p w:rsidR="00A24554" w:rsidRDefault="00A24554" w:rsidP="00A24554">
      <w:pPr>
        <w:spacing w:after="0" w:line="240" w:lineRule="auto"/>
        <w:rPr>
          <w:sz w:val="24"/>
          <w:szCs w:val="24"/>
        </w:rPr>
      </w:pPr>
    </w:p>
    <w:p w:rsidR="00A24554" w:rsidRDefault="00A24554" w:rsidP="00A24554">
      <w:pPr>
        <w:spacing w:after="0" w:line="240" w:lineRule="auto"/>
        <w:rPr>
          <w:sz w:val="24"/>
          <w:szCs w:val="24"/>
        </w:rPr>
      </w:pPr>
    </w:p>
    <w:p w:rsidR="00A24554" w:rsidRDefault="00A24554" w:rsidP="00A24554">
      <w:pPr>
        <w:spacing w:after="0" w:line="240" w:lineRule="auto"/>
        <w:rPr>
          <w:sz w:val="24"/>
          <w:szCs w:val="24"/>
        </w:rPr>
      </w:pPr>
    </w:p>
    <w:p w:rsidR="00A24554" w:rsidRDefault="00A24554" w:rsidP="00A24554">
      <w:pPr>
        <w:spacing w:after="0" w:line="240" w:lineRule="auto"/>
        <w:rPr>
          <w:sz w:val="24"/>
          <w:szCs w:val="24"/>
        </w:rPr>
      </w:pPr>
    </w:p>
    <w:p w:rsidR="00A24554" w:rsidRDefault="00A24554" w:rsidP="00A24554">
      <w:pPr>
        <w:spacing w:after="0" w:line="240" w:lineRule="auto"/>
        <w:rPr>
          <w:sz w:val="24"/>
          <w:szCs w:val="24"/>
        </w:rPr>
      </w:pPr>
    </w:p>
    <w:p w:rsidR="00A24554" w:rsidRDefault="00A24554" w:rsidP="00A24554">
      <w:pPr>
        <w:spacing w:after="0" w:line="240" w:lineRule="auto"/>
        <w:rPr>
          <w:sz w:val="24"/>
          <w:szCs w:val="24"/>
        </w:rPr>
      </w:pPr>
    </w:p>
    <w:p w:rsidR="00A24554" w:rsidRDefault="00A24554" w:rsidP="00A24554">
      <w:pPr>
        <w:spacing w:after="0" w:line="240" w:lineRule="auto"/>
        <w:rPr>
          <w:sz w:val="24"/>
          <w:szCs w:val="24"/>
        </w:rPr>
      </w:pPr>
    </w:p>
    <w:p w:rsidR="00A24554" w:rsidRDefault="00A24554" w:rsidP="00A24554">
      <w:pPr>
        <w:spacing w:after="0" w:line="240" w:lineRule="auto"/>
        <w:rPr>
          <w:sz w:val="24"/>
          <w:szCs w:val="24"/>
        </w:rPr>
      </w:pPr>
    </w:p>
    <w:p w:rsidR="000664E7" w:rsidRDefault="000664E7" w:rsidP="00A24554">
      <w:pPr>
        <w:spacing w:after="0" w:line="240" w:lineRule="auto"/>
        <w:rPr>
          <w:sz w:val="24"/>
          <w:szCs w:val="24"/>
        </w:rPr>
      </w:pPr>
    </w:p>
    <w:p w:rsidR="00A24554" w:rsidRDefault="00A24554" w:rsidP="00A24554">
      <w:pPr>
        <w:pBdr>
          <w:bottom w:val="single" w:sz="6" w:space="1" w:color="auto"/>
        </w:pBdr>
        <w:spacing w:after="0" w:line="240" w:lineRule="auto"/>
        <w:rPr>
          <w:sz w:val="24"/>
          <w:szCs w:val="24"/>
        </w:rPr>
      </w:pPr>
    </w:p>
    <w:p w:rsidR="00A24554" w:rsidRDefault="00A24554" w:rsidP="00A24554">
      <w:pPr>
        <w:spacing w:after="0"/>
        <w:rPr>
          <w:i/>
          <w:iCs/>
          <w:color w:val="000000"/>
          <w:sz w:val="18"/>
          <w:szCs w:val="18"/>
          <w:lang w:val="es-MX"/>
        </w:rPr>
      </w:pPr>
    </w:p>
    <w:p w:rsidR="00A24554" w:rsidRPr="008520DB" w:rsidRDefault="00A24554" w:rsidP="00A24554">
      <w:pPr>
        <w:spacing w:after="0"/>
        <w:jc w:val="both"/>
        <w:rPr>
          <w:i/>
          <w:iCs/>
          <w:color w:val="000000"/>
          <w:sz w:val="18"/>
          <w:szCs w:val="18"/>
        </w:rPr>
      </w:pPr>
      <w:r w:rsidRPr="008520DB">
        <w:rPr>
          <w:i/>
          <w:iCs/>
          <w:color w:val="000000"/>
          <w:sz w:val="18"/>
          <w:szCs w:val="18"/>
        </w:rPr>
        <w:t xml:space="preserve">Founded in 1988, ICSA is the global organization of securities industry associations.  </w:t>
      </w:r>
    </w:p>
    <w:p w:rsidR="00A24554" w:rsidRPr="008520DB" w:rsidRDefault="00A24554" w:rsidP="00A24554">
      <w:pPr>
        <w:spacing w:after="0"/>
        <w:jc w:val="both"/>
      </w:pPr>
    </w:p>
    <w:p w:rsidR="00A24554" w:rsidRPr="008520DB" w:rsidRDefault="00A24554" w:rsidP="00A24554">
      <w:pPr>
        <w:spacing w:after="0"/>
        <w:jc w:val="both"/>
      </w:pPr>
      <w:r w:rsidRPr="008520DB">
        <w:rPr>
          <w:i/>
          <w:iCs/>
          <w:color w:val="000000"/>
          <w:sz w:val="18"/>
          <w:szCs w:val="18"/>
        </w:rPr>
        <w:t xml:space="preserve"> ICSA provides a forum for member associations to understand developments, exchange views, and collaborate to work </w:t>
      </w:r>
    </w:p>
    <w:p w:rsidR="00A24554" w:rsidRPr="008520DB" w:rsidRDefault="00A24554" w:rsidP="00A24554">
      <w:pPr>
        <w:spacing w:after="0"/>
        <w:jc w:val="both"/>
      </w:pPr>
      <w:proofErr w:type="gramStart"/>
      <w:r w:rsidRPr="008520DB">
        <w:rPr>
          <w:i/>
          <w:iCs/>
          <w:color w:val="000000"/>
          <w:sz w:val="18"/>
          <w:szCs w:val="18"/>
        </w:rPr>
        <w:t>for</w:t>
      </w:r>
      <w:proofErr w:type="gramEnd"/>
      <w:r w:rsidRPr="008520DB">
        <w:rPr>
          <w:i/>
          <w:iCs/>
          <w:color w:val="000000"/>
          <w:sz w:val="18"/>
          <w:szCs w:val="18"/>
        </w:rPr>
        <w:t xml:space="preserve"> better global capital markets. </w:t>
      </w:r>
    </w:p>
    <w:p w:rsidR="00A24554" w:rsidRPr="008520DB" w:rsidRDefault="00A24554" w:rsidP="00A24554">
      <w:pPr>
        <w:spacing w:after="0"/>
        <w:jc w:val="both"/>
      </w:pPr>
      <w:r w:rsidRPr="008520DB">
        <w:rPr>
          <w:i/>
          <w:iCs/>
          <w:color w:val="000000"/>
          <w:sz w:val="18"/>
          <w:szCs w:val="18"/>
        </w:rPr>
        <w:t> </w:t>
      </w:r>
    </w:p>
    <w:p w:rsidR="00A24554" w:rsidRPr="008520DB" w:rsidRDefault="00A24554" w:rsidP="00A24554">
      <w:pPr>
        <w:spacing w:after="0"/>
        <w:jc w:val="both"/>
      </w:pPr>
      <w:r w:rsidRPr="008520DB">
        <w:rPr>
          <w:i/>
          <w:iCs/>
          <w:color w:val="000000"/>
          <w:sz w:val="18"/>
          <w:szCs w:val="18"/>
        </w:rPr>
        <w:t>ICSA advocates appropriate regulatory policies, regulations, and initiatives across jurisdictions to promote efficient and</w:t>
      </w:r>
    </w:p>
    <w:p w:rsidR="00A24554" w:rsidRPr="008520DB" w:rsidRDefault="00A24554" w:rsidP="00A24554">
      <w:pPr>
        <w:spacing w:after="0"/>
        <w:jc w:val="both"/>
      </w:pPr>
      <w:proofErr w:type="gramStart"/>
      <w:r w:rsidRPr="008520DB">
        <w:rPr>
          <w:i/>
          <w:iCs/>
          <w:color w:val="000000"/>
          <w:sz w:val="18"/>
          <w:szCs w:val="18"/>
        </w:rPr>
        <w:t>well-functioning</w:t>
      </w:r>
      <w:proofErr w:type="gramEnd"/>
      <w:r w:rsidRPr="008520DB">
        <w:rPr>
          <w:i/>
          <w:iCs/>
          <w:color w:val="000000"/>
          <w:sz w:val="18"/>
          <w:szCs w:val="18"/>
        </w:rPr>
        <w:t xml:space="preserve"> securities markets and the flow of cross-border capital ( </w:t>
      </w:r>
      <w:hyperlink r:id="rId9" w:history="1">
        <w:r w:rsidRPr="008520DB">
          <w:rPr>
            <w:rStyle w:val="Hyperlink"/>
            <w:i/>
            <w:iCs/>
            <w:sz w:val="18"/>
            <w:szCs w:val="18"/>
          </w:rPr>
          <w:t>www.icsa.global</w:t>
        </w:r>
      </w:hyperlink>
      <w:r w:rsidRPr="008520DB">
        <w:rPr>
          <w:i/>
          <w:iCs/>
          <w:color w:val="000000"/>
          <w:sz w:val="18"/>
          <w:szCs w:val="18"/>
        </w:rPr>
        <w:t>).</w:t>
      </w:r>
    </w:p>
    <w:p w:rsidR="00DD16F9" w:rsidRPr="008520DB" w:rsidRDefault="00DD16F9" w:rsidP="00A24554">
      <w:pPr>
        <w:spacing w:after="0" w:line="240" w:lineRule="auto"/>
        <w:rPr>
          <w:sz w:val="24"/>
          <w:szCs w:val="24"/>
        </w:rPr>
      </w:pPr>
      <w:bookmarkStart w:id="0" w:name="_GoBack"/>
      <w:bookmarkEnd w:id="0"/>
    </w:p>
    <w:sectPr w:rsidR="00DD16F9" w:rsidRPr="00852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12BC9"/>
    <w:multiLevelType w:val="hybridMultilevel"/>
    <w:tmpl w:val="B7F26D86"/>
    <w:lvl w:ilvl="0" w:tplc="CDFCC5DA">
      <w:start w:val="28"/>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085D43"/>
    <w:multiLevelType w:val="hybridMultilevel"/>
    <w:tmpl w:val="04906E7C"/>
    <w:lvl w:ilvl="0" w:tplc="9DF44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A4"/>
    <w:rsid w:val="000664E7"/>
    <w:rsid w:val="001645D0"/>
    <w:rsid w:val="00170DB2"/>
    <w:rsid w:val="001A19E1"/>
    <w:rsid w:val="001F0F02"/>
    <w:rsid w:val="001F3885"/>
    <w:rsid w:val="00231275"/>
    <w:rsid w:val="002339AB"/>
    <w:rsid w:val="0027542B"/>
    <w:rsid w:val="002A614D"/>
    <w:rsid w:val="002B11F9"/>
    <w:rsid w:val="002C1BE0"/>
    <w:rsid w:val="002C269C"/>
    <w:rsid w:val="002D6C9F"/>
    <w:rsid w:val="00305E54"/>
    <w:rsid w:val="00323798"/>
    <w:rsid w:val="003246F1"/>
    <w:rsid w:val="00362937"/>
    <w:rsid w:val="00404900"/>
    <w:rsid w:val="004113EC"/>
    <w:rsid w:val="0043351F"/>
    <w:rsid w:val="00454D9F"/>
    <w:rsid w:val="00492CE5"/>
    <w:rsid w:val="005310D5"/>
    <w:rsid w:val="005676DB"/>
    <w:rsid w:val="00661CB7"/>
    <w:rsid w:val="00691F19"/>
    <w:rsid w:val="006B41A4"/>
    <w:rsid w:val="006E38D9"/>
    <w:rsid w:val="007502B1"/>
    <w:rsid w:val="007875A9"/>
    <w:rsid w:val="0079679C"/>
    <w:rsid w:val="007D6777"/>
    <w:rsid w:val="00810C20"/>
    <w:rsid w:val="00833714"/>
    <w:rsid w:val="008520DB"/>
    <w:rsid w:val="008C5B4B"/>
    <w:rsid w:val="008E249C"/>
    <w:rsid w:val="00910ECB"/>
    <w:rsid w:val="0092205B"/>
    <w:rsid w:val="0093338A"/>
    <w:rsid w:val="00974027"/>
    <w:rsid w:val="009914AD"/>
    <w:rsid w:val="0099428E"/>
    <w:rsid w:val="009D41DF"/>
    <w:rsid w:val="009D4310"/>
    <w:rsid w:val="00A24554"/>
    <w:rsid w:val="00A931DA"/>
    <w:rsid w:val="00B37D46"/>
    <w:rsid w:val="00B51491"/>
    <w:rsid w:val="00B9487C"/>
    <w:rsid w:val="00B94AC6"/>
    <w:rsid w:val="00BD2A59"/>
    <w:rsid w:val="00BF1BE7"/>
    <w:rsid w:val="00C3090A"/>
    <w:rsid w:val="00C81AE5"/>
    <w:rsid w:val="00C8540C"/>
    <w:rsid w:val="00CB3534"/>
    <w:rsid w:val="00CE0919"/>
    <w:rsid w:val="00D72542"/>
    <w:rsid w:val="00D873A3"/>
    <w:rsid w:val="00DB018B"/>
    <w:rsid w:val="00DD16F9"/>
    <w:rsid w:val="00E350F4"/>
    <w:rsid w:val="00E51BD7"/>
    <w:rsid w:val="00E53B09"/>
    <w:rsid w:val="00E9715D"/>
    <w:rsid w:val="00EA27AB"/>
    <w:rsid w:val="00EA2D53"/>
    <w:rsid w:val="00EB20B1"/>
    <w:rsid w:val="00EB3812"/>
    <w:rsid w:val="00ED59BF"/>
    <w:rsid w:val="00F17BAA"/>
    <w:rsid w:val="00F7563A"/>
    <w:rsid w:val="00FC37CE"/>
    <w:rsid w:val="00FF3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BDD22-5E29-495B-92B9-1818D069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49C"/>
    <w:pPr>
      <w:ind w:left="720"/>
      <w:contextualSpacing/>
    </w:pPr>
  </w:style>
  <w:style w:type="character" w:styleId="Hyperlink">
    <w:name w:val="Hyperlink"/>
    <w:basedOn w:val="DefaultParagraphFont"/>
    <w:uiPriority w:val="99"/>
    <w:unhideWhenUsed/>
    <w:rsid w:val="008E249C"/>
    <w:rPr>
      <w:color w:val="0563C1" w:themeColor="hyperlink"/>
      <w:u w:val="single"/>
    </w:rPr>
  </w:style>
  <w:style w:type="paragraph" w:styleId="BalloonText">
    <w:name w:val="Balloon Text"/>
    <w:basedOn w:val="Normal"/>
    <w:link w:val="BalloonTextChar"/>
    <w:uiPriority w:val="99"/>
    <w:semiHidden/>
    <w:unhideWhenUsed/>
    <w:rsid w:val="00170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8033">
      <w:bodyDiv w:val="1"/>
      <w:marLeft w:val="0"/>
      <w:marRight w:val="0"/>
      <w:marTop w:val="0"/>
      <w:marBottom w:val="0"/>
      <w:divBdr>
        <w:top w:val="none" w:sz="0" w:space="0" w:color="auto"/>
        <w:left w:val="none" w:sz="0" w:space="0" w:color="auto"/>
        <w:bottom w:val="none" w:sz="0" w:space="0" w:color="auto"/>
        <w:right w:val="none" w:sz="0" w:space="0" w:color="auto"/>
      </w:divBdr>
      <w:divsChild>
        <w:div w:id="443228212">
          <w:marLeft w:val="0"/>
          <w:marRight w:val="0"/>
          <w:marTop w:val="0"/>
          <w:marBottom w:val="0"/>
          <w:divBdr>
            <w:top w:val="none" w:sz="0" w:space="0" w:color="auto"/>
            <w:left w:val="none" w:sz="0" w:space="0" w:color="auto"/>
            <w:bottom w:val="none" w:sz="0" w:space="0" w:color="auto"/>
            <w:right w:val="none" w:sz="0" w:space="0" w:color="auto"/>
          </w:divBdr>
        </w:div>
        <w:div w:id="6298718">
          <w:marLeft w:val="0"/>
          <w:marRight w:val="0"/>
          <w:marTop w:val="0"/>
          <w:marBottom w:val="0"/>
          <w:divBdr>
            <w:top w:val="none" w:sz="0" w:space="0" w:color="auto"/>
            <w:left w:val="none" w:sz="0" w:space="0" w:color="auto"/>
            <w:bottom w:val="none" w:sz="0" w:space="0" w:color="auto"/>
            <w:right w:val="none" w:sz="0" w:space="0" w:color="auto"/>
          </w:divBdr>
        </w:div>
        <w:div w:id="1667588340">
          <w:marLeft w:val="0"/>
          <w:marRight w:val="0"/>
          <w:marTop w:val="0"/>
          <w:marBottom w:val="0"/>
          <w:divBdr>
            <w:top w:val="none" w:sz="0" w:space="0" w:color="auto"/>
            <w:left w:val="none" w:sz="0" w:space="0" w:color="auto"/>
            <w:bottom w:val="none" w:sz="0" w:space="0" w:color="auto"/>
            <w:right w:val="none" w:sz="0" w:space="0" w:color="auto"/>
          </w:divBdr>
        </w:div>
        <w:div w:id="438373970">
          <w:marLeft w:val="0"/>
          <w:marRight w:val="0"/>
          <w:marTop w:val="0"/>
          <w:marBottom w:val="0"/>
          <w:divBdr>
            <w:top w:val="none" w:sz="0" w:space="0" w:color="auto"/>
            <w:left w:val="none" w:sz="0" w:space="0" w:color="auto"/>
            <w:bottom w:val="none" w:sz="0" w:space="0" w:color="auto"/>
            <w:right w:val="none" w:sz="0" w:space="0" w:color="auto"/>
          </w:divBdr>
        </w:div>
        <w:div w:id="1753043468">
          <w:marLeft w:val="0"/>
          <w:marRight w:val="0"/>
          <w:marTop w:val="0"/>
          <w:marBottom w:val="0"/>
          <w:divBdr>
            <w:top w:val="none" w:sz="0" w:space="0" w:color="auto"/>
            <w:left w:val="none" w:sz="0" w:space="0" w:color="auto"/>
            <w:bottom w:val="none" w:sz="0" w:space="0" w:color="auto"/>
            <w:right w:val="none" w:sz="0" w:space="0" w:color="auto"/>
          </w:divBdr>
        </w:div>
        <w:div w:id="599216417">
          <w:marLeft w:val="360"/>
          <w:marRight w:val="0"/>
          <w:marTop w:val="0"/>
          <w:marBottom w:val="0"/>
          <w:divBdr>
            <w:top w:val="none" w:sz="0" w:space="0" w:color="auto"/>
            <w:left w:val="none" w:sz="0" w:space="0" w:color="auto"/>
            <w:bottom w:val="none" w:sz="0" w:space="0" w:color="auto"/>
            <w:right w:val="none" w:sz="0" w:space="0" w:color="auto"/>
          </w:divBdr>
        </w:div>
      </w:divsChild>
    </w:div>
    <w:div w:id="533615777">
      <w:bodyDiv w:val="1"/>
      <w:marLeft w:val="0"/>
      <w:marRight w:val="0"/>
      <w:marTop w:val="0"/>
      <w:marBottom w:val="0"/>
      <w:divBdr>
        <w:top w:val="none" w:sz="0" w:space="0" w:color="auto"/>
        <w:left w:val="none" w:sz="0" w:space="0" w:color="auto"/>
        <w:bottom w:val="none" w:sz="0" w:space="0" w:color="auto"/>
        <w:right w:val="none" w:sz="0" w:space="0" w:color="auto"/>
      </w:divBdr>
    </w:div>
    <w:div w:id="183587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agroup.org/Regulatory-Policy-and-Market-Practice/Secondary-Markets/survey-report-liquidity-in-the-european-secondary-bond-market-perspectives-from-the-market/" TargetMode="External"/><Relationship Id="rId3" Type="http://schemas.openxmlformats.org/officeDocument/2006/relationships/styles" Target="styles.xml"/><Relationship Id="rId7" Type="http://schemas.openxmlformats.org/officeDocument/2006/relationships/hyperlink" Target="http://www.oliverwyman.com/content/dam/oliver-wyman/global/en/2016/aug/post-crisis-basel-reform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sa.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AE5AA-22CB-47C5-A10A-ECCF0F60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Eisenhardt</dc:creator>
  <cp:keywords/>
  <dc:description/>
  <cp:lastModifiedBy>Peter Eisenhardt</cp:lastModifiedBy>
  <cp:revision>2</cp:revision>
  <cp:lastPrinted>2016-09-12T13:04:00Z</cp:lastPrinted>
  <dcterms:created xsi:type="dcterms:W3CDTF">2016-09-30T06:57:00Z</dcterms:created>
  <dcterms:modified xsi:type="dcterms:W3CDTF">2016-09-30T06:57:00Z</dcterms:modified>
</cp:coreProperties>
</file>